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11918"/>
    <w:p w14:paraId="063DE951"/>
    <w:p w14:paraId="27B94476">
      <w:pPr>
        <w:jc w:val="center"/>
      </w:pPr>
      <w:r>
        <w:rPr>
          <w:rFonts w:ascii="Aptos Display" w:hAnsi="Aptos Display"/>
          <w:b/>
          <w:color w:val="1F4E78"/>
          <w:sz w:val="60"/>
        </w:rPr>
        <w:t>SMART-UDL</w:t>
      </w:r>
    </w:p>
    <w:p w14:paraId="74E3A63A">
      <w:pPr>
        <w:jc w:val="center"/>
      </w:pPr>
      <w:r>
        <w:rPr>
          <w:rFonts w:ascii="Aptos" w:hAnsi="Aptos"/>
          <w:b/>
          <w:color w:val="0F6B78"/>
          <w:sz w:val="28"/>
        </w:rPr>
        <w:t>Students Mastering English with Advanced Resources and Technology via UDL</w:t>
      </w:r>
    </w:p>
    <w:p w14:paraId="2E9B3F73">
      <w:pPr>
        <w:jc w:val="center"/>
      </w:pPr>
      <w:r>
        <w:rPr>
          <w:rFonts w:ascii="Aptos Display" w:hAnsi="Aptos Display"/>
          <w:b/>
          <w:color w:val="233746"/>
          <w:sz w:val="50"/>
        </w:rPr>
        <w:t>WP2 NEEDS ANALYSIS REPORT</w:t>
      </w:r>
    </w:p>
    <w:p w14:paraId="2EA8D83C">
      <w:pPr>
        <w:jc w:val="center"/>
      </w:pPr>
      <w:r>
        <w:rPr>
          <w:rFonts w:ascii="Aptos" w:hAnsi="Aptos"/>
          <w:b w:val="0"/>
          <w:color w:val="5E6A71"/>
          <w:sz w:val="24"/>
        </w:rPr>
        <w:t>Integrated analysis of student, teacher and parent evidence</w:t>
      </w:r>
    </w:p>
    <w:p w14:paraId="4470B951"/>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912"/>
      </w:tblGrid>
      <w:tr w14:paraId="4844FE35">
        <w:trPr>
          <w:cantSplit/>
          <w:tblHeader/>
          <w:jc w:val="center"/>
        </w:trPr>
        <w:tc>
          <w:tcPr>
            <w:tcW w:w="2304" w:type="dxa"/>
            <w:tcBorders>
              <w:top w:val="single" w:color="B7C9D3" w:sz="4" w:space="0"/>
              <w:left w:val="single" w:color="B7C9D3" w:sz="4" w:space="0"/>
              <w:bottom w:val="single" w:color="B7C9D3" w:sz="4" w:space="0"/>
              <w:right w:val="single" w:color="B7C9D3" w:sz="4" w:space="0"/>
            </w:tcBorders>
            <w:shd w:val="clear" w:color="auto" w:fill="D9EAF2"/>
            <w:vAlign w:val="center"/>
          </w:tcPr>
          <w:p w14:paraId="0F84EF0D">
            <w:pPr>
              <w:spacing w:before="0" w:after="0" w:line="240" w:lineRule="auto"/>
            </w:pPr>
            <w:r>
              <w:rPr>
                <w:rFonts w:ascii="Aptos" w:hAnsi="Aptos"/>
                <w:b w:val="0"/>
                <w:color w:val="233746"/>
                <w:sz w:val="19"/>
              </w:rPr>
              <w:t>Project number</w:t>
            </w:r>
          </w:p>
        </w:tc>
        <w:tc>
          <w:tcPr>
            <w:tcW w:w="6912" w:type="dxa"/>
            <w:tcBorders>
              <w:top w:val="single" w:color="B7C9D3" w:sz="4" w:space="0"/>
              <w:left w:val="single" w:color="B7C9D3" w:sz="4" w:space="0"/>
              <w:bottom w:val="single" w:color="B7C9D3" w:sz="4" w:space="0"/>
              <w:right w:val="single" w:color="B7C9D3" w:sz="4" w:space="0"/>
            </w:tcBorders>
            <w:vAlign w:val="center"/>
          </w:tcPr>
          <w:p w14:paraId="2D9C6889">
            <w:pPr>
              <w:spacing w:before="0" w:after="0" w:line="240" w:lineRule="auto"/>
            </w:pPr>
            <w:r>
              <w:rPr>
                <w:rFonts w:ascii="Aptos" w:hAnsi="Aptos"/>
                <w:b w:val="0"/>
                <w:color w:val="233746"/>
                <w:sz w:val="19"/>
              </w:rPr>
              <w:t>2025-1-SE01-KA220-SCH-000363437</w:t>
            </w:r>
          </w:p>
        </w:tc>
      </w:tr>
      <w:tr w14:paraId="238E8BCE">
        <w:trPr>
          <w:cantSplit/>
          <w:jc w:val="center"/>
        </w:trPr>
        <w:tc>
          <w:tcPr>
            <w:tcW w:w="2304" w:type="dxa"/>
            <w:tcBorders>
              <w:top w:val="single" w:color="B7C9D3" w:sz="4" w:space="0"/>
              <w:left w:val="single" w:color="B7C9D3" w:sz="4" w:space="0"/>
              <w:bottom w:val="single" w:color="B7C9D3" w:sz="4" w:space="0"/>
              <w:right w:val="single" w:color="B7C9D3" w:sz="4" w:space="0"/>
            </w:tcBorders>
            <w:shd w:val="clear" w:color="auto" w:fill="D9EAF2"/>
            <w:vAlign w:val="center"/>
          </w:tcPr>
          <w:p w14:paraId="343C0BAB">
            <w:pPr>
              <w:spacing w:before="0" w:after="0" w:line="240" w:lineRule="auto"/>
            </w:pPr>
            <w:r>
              <w:rPr>
                <w:rFonts w:ascii="Aptos" w:hAnsi="Aptos"/>
                <w:b w:val="0"/>
                <w:color w:val="233746"/>
                <w:sz w:val="19"/>
              </w:rPr>
              <w:t>Programme</w:t>
            </w:r>
          </w:p>
        </w:tc>
        <w:tc>
          <w:tcPr>
            <w:tcW w:w="6912" w:type="dxa"/>
            <w:tcBorders>
              <w:top w:val="single" w:color="B7C9D3" w:sz="4" w:space="0"/>
              <w:left w:val="single" w:color="B7C9D3" w:sz="4" w:space="0"/>
              <w:bottom w:val="single" w:color="B7C9D3" w:sz="4" w:space="0"/>
              <w:right w:val="single" w:color="B7C9D3" w:sz="4" w:space="0"/>
            </w:tcBorders>
            <w:vAlign w:val="center"/>
          </w:tcPr>
          <w:p w14:paraId="17A7B32C">
            <w:pPr>
              <w:spacing w:before="0" w:after="0" w:line="240" w:lineRule="auto"/>
            </w:pPr>
            <w:r>
              <w:rPr>
                <w:rFonts w:ascii="Aptos" w:hAnsi="Aptos"/>
                <w:b w:val="0"/>
                <w:color w:val="233746"/>
                <w:sz w:val="19"/>
              </w:rPr>
              <w:t>Erasmus+ KA220-SCH - Cooperation Partnerships in School Education</w:t>
            </w:r>
          </w:p>
        </w:tc>
      </w:tr>
      <w:tr w14:paraId="2678E23C">
        <w:trPr>
          <w:cantSplit/>
          <w:jc w:val="center"/>
        </w:trPr>
        <w:tc>
          <w:tcPr>
            <w:tcW w:w="2304" w:type="dxa"/>
            <w:tcBorders>
              <w:top w:val="single" w:color="B7C9D3" w:sz="4" w:space="0"/>
              <w:left w:val="single" w:color="B7C9D3" w:sz="4" w:space="0"/>
              <w:bottom w:val="single" w:color="B7C9D3" w:sz="4" w:space="0"/>
              <w:right w:val="single" w:color="B7C9D3" w:sz="4" w:space="0"/>
            </w:tcBorders>
            <w:shd w:val="clear" w:color="auto" w:fill="D9EAF2"/>
            <w:vAlign w:val="center"/>
          </w:tcPr>
          <w:p w14:paraId="27654C05">
            <w:pPr>
              <w:spacing w:before="0" w:after="0" w:line="240" w:lineRule="auto"/>
            </w:pPr>
            <w:r>
              <w:rPr>
                <w:rFonts w:ascii="Aptos" w:hAnsi="Aptos"/>
                <w:b w:val="0"/>
                <w:color w:val="233746"/>
                <w:sz w:val="19"/>
              </w:rPr>
              <w:t>Work package</w:t>
            </w:r>
          </w:p>
        </w:tc>
        <w:tc>
          <w:tcPr>
            <w:tcW w:w="6912" w:type="dxa"/>
            <w:tcBorders>
              <w:top w:val="single" w:color="B7C9D3" w:sz="4" w:space="0"/>
              <w:left w:val="single" w:color="B7C9D3" w:sz="4" w:space="0"/>
              <w:bottom w:val="single" w:color="B7C9D3" w:sz="4" w:space="0"/>
              <w:right w:val="single" w:color="B7C9D3" w:sz="4" w:space="0"/>
            </w:tcBorders>
            <w:vAlign w:val="center"/>
          </w:tcPr>
          <w:p w14:paraId="6BCD14A5">
            <w:pPr>
              <w:spacing w:before="0" w:after="0" w:line="240" w:lineRule="auto"/>
            </w:pPr>
            <w:r>
              <w:rPr>
                <w:rFonts w:ascii="Aptos" w:hAnsi="Aptos"/>
                <w:b w:val="0"/>
                <w:color w:val="233746"/>
                <w:sz w:val="19"/>
              </w:rPr>
              <w:t>WP2 - Needs Analysis, Language Learning Difficulties Report, Educational Material Framework</w:t>
            </w:r>
          </w:p>
        </w:tc>
      </w:tr>
      <w:tr w14:paraId="4367960D">
        <w:trPr>
          <w:cantSplit/>
          <w:jc w:val="center"/>
        </w:trPr>
        <w:tc>
          <w:tcPr>
            <w:tcW w:w="2304" w:type="dxa"/>
            <w:tcBorders>
              <w:top w:val="single" w:color="B7C9D3" w:sz="4" w:space="0"/>
              <w:left w:val="single" w:color="B7C9D3" w:sz="4" w:space="0"/>
              <w:bottom w:val="single" w:color="B7C9D3" w:sz="4" w:space="0"/>
              <w:right w:val="single" w:color="B7C9D3" w:sz="4" w:space="0"/>
            </w:tcBorders>
            <w:shd w:val="clear" w:color="auto" w:fill="D9EAF2"/>
            <w:vAlign w:val="center"/>
          </w:tcPr>
          <w:p w14:paraId="59BE6FA1">
            <w:pPr>
              <w:spacing w:before="0" w:after="0" w:line="240" w:lineRule="auto"/>
            </w:pPr>
            <w:r>
              <w:rPr>
                <w:rFonts w:ascii="Aptos" w:hAnsi="Aptos"/>
                <w:b w:val="0"/>
                <w:color w:val="233746"/>
                <w:sz w:val="19"/>
              </w:rPr>
              <w:t>Date</w:t>
            </w:r>
          </w:p>
        </w:tc>
        <w:tc>
          <w:tcPr>
            <w:tcW w:w="6912" w:type="dxa"/>
            <w:tcBorders>
              <w:top w:val="single" w:color="B7C9D3" w:sz="4" w:space="0"/>
              <w:left w:val="single" w:color="B7C9D3" w:sz="4" w:space="0"/>
              <w:bottom w:val="single" w:color="B7C9D3" w:sz="4" w:space="0"/>
              <w:right w:val="single" w:color="B7C9D3" w:sz="4" w:space="0"/>
            </w:tcBorders>
            <w:vAlign w:val="center"/>
          </w:tcPr>
          <w:p w14:paraId="61528482">
            <w:pPr>
              <w:spacing w:before="0" w:after="0" w:line="240" w:lineRule="auto"/>
            </w:pPr>
            <w:r>
              <w:rPr>
                <w:rFonts w:ascii="Aptos" w:hAnsi="Aptos"/>
                <w:b w:val="0"/>
                <w:color w:val="233746"/>
                <w:sz w:val="19"/>
              </w:rPr>
              <w:t>September 2026</w:t>
            </w:r>
          </w:p>
        </w:tc>
      </w:tr>
    </w:tbl>
    <w:p w14:paraId="4C372991"/>
    <w:p w14:paraId="296B96A1"/>
    <w:p w14:paraId="13AB2F46">
      <w:r>
        <w:br w:type="page"/>
      </w:r>
    </w:p>
    <w:p w14:paraId="7F156610">
      <w:pPr>
        <w:pStyle w:val="3"/>
      </w:pPr>
      <w:r>
        <w:t>European Union Visibility Statement</w:t>
      </w:r>
    </w:p>
    <w:p w14:paraId="6F0ABDED">
      <w:pPr>
        <w:spacing w:after="120" w:line="259" w:lineRule="auto"/>
      </w:pPr>
      <w:r>
        <w:rPr>
          <w:rFonts w:ascii="Aptos" w:hAnsi="Aptos"/>
          <w:color w:val="233746"/>
          <w:sz w:val="21"/>
        </w:rPr>
        <w:t>Co-funded by the Erasmus+ Programme of the European Union. The European Commission's support for the production of this publication does not constitute an endorsement of the contents, which reflect the views only of the authors, and the Commission cannot be held responsible for any use which may be made of the information contained therein.</w:t>
      </w:r>
    </w:p>
    <w:p w14:paraId="7CB924BF">
      <w:pPr>
        <w:pStyle w:val="2"/>
      </w:pPr>
      <w:r>
        <w:t>Contents</w:t>
      </w:r>
    </w:p>
    <w:p w14:paraId="7381C183">
      <w:pPr>
        <w:pStyle w:val="24"/>
        <w:spacing w:after="60"/>
        <w:ind w:left="360"/>
      </w:pPr>
      <w:r>
        <w:rPr>
          <w:rFonts w:ascii="Aptos" w:hAnsi="Aptos"/>
          <w:color w:val="233746"/>
          <w:sz w:val="20"/>
        </w:rPr>
        <w:t>1. Executive Summary</w:t>
      </w:r>
    </w:p>
    <w:p w14:paraId="1C6D0A14">
      <w:pPr>
        <w:pStyle w:val="24"/>
        <w:spacing w:after="60"/>
        <w:ind w:left="360"/>
      </w:pPr>
      <w:r>
        <w:rPr>
          <w:rFonts w:ascii="Aptos" w:hAnsi="Aptos"/>
          <w:color w:val="233746"/>
          <w:sz w:val="20"/>
        </w:rPr>
        <w:t>2. Purpose and WP2 Context</w:t>
      </w:r>
    </w:p>
    <w:p w14:paraId="1D115061">
      <w:pPr>
        <w:pStyle w:val="24"/>
        <w:spacing w:after="60"/>
        <w:ind w:left="360"/>
      </w:pPr>
      <w:r>
        <w:rPr>
          <w:rFonts w:ascii="Aptos" w:hAnsi="Aptos"/>
          <w:color w:val="233746"/>
          <w:sz w:val="20"/>
        </w:rPr>
        <w:t>3. Methodology and Data Sources</w:t>
      </w:r>
    </w:p>
    <w:p w14:paraId="4ECC5AF8">
      <w:pPr>
        <w:pStyle w:val="24"/>
        <w:spacing w:after="60"/>
        <w:ind w:left="360"/>
      </w:pPr>
      <w:r>
        <w:rPr>
          <w:rFonts w:ascii="Aptos" w:hAnsi="Aptos"/>
          <w:color w:val="233746"/>
          <w:sz w:val="20"/>
        </w:rPr>
        <w:t>4. Participant Profile and Coverage</w:t>
      </w:r>
    </w:p>
    <w:p w14:paraId="1E687024">
      <w:pPr>
        <w:pStyle w:val="24"/>
        <w:spacing w:after="60"/>
        <w:ind w:left="360"/>
      </w:pPr>
      <w:r>
        <w:rPr>
          <w:rFonts w:ascii="Aptos" w:hAnsi="Aptos"/>
          <w:color w:val="233746"/>
          <w:sz w:val="20"/>
        </w:rPr>
        <w:t>5. Student Needs</w:t>
      </w:r>
    </w:p>
    <w:p w14:paraId="3C3042B2">
      <w:pPr>
        <w:pStyle w:val="24"/>
        <w:spacing w:after="60"/>
        <w:ind w:left="360"/>
      </w:pPr>
      <w:r>
        <w:rPr>
          <w:rFonts w:ascii="Aptos" w:hAnsi="Aptos"/>
          <w:color w:val="233746"/>
          <w:sz w:val="20"/>
        </w:rPr>
        <w:t>6. Teacher Needs and Teaching Practices</w:t>
      </w:r>
    </w:p>
    <w:p w14:paraId="606793A9">
      <w:pPr>
        <w:pStyle w:val="24"/>
        <w:spacing w:after="60"/>
        <w:ind w:left="360"/>
      </w:pPr>
      <w:r>
        <w:rPr>
          <w:rFonts w:ascii="Aptos" w:hAnsi="Aptos"/>
          <w:color w:val="233746"/>
          <w:sz w:val="20"/>
        </w:rPr>
        <w:t>7. Parent and Home-Support Needs</w:t>
      </w:r>
    </w:p>
    <w:p w14:paraId="3EB11A3B">
      <w:pPr>
        <w:pStyle w:val="24"/>
        <w:spacing w:after="60"/>
        <w:ind w:left="360"/>
      </w:pPr>
      <w:r>
        <w:rPr>
          <w:rFonts w:ascii="Aptos" w:hAnsi="Aptos"/>
          <w:color w:val="233746"/>
          <w:sz w:val="20"/>
        </w:rPr>
        <w:t>8. Cross-Target-Group Synthesis</w:t>
      </w:r>
    </w:p>
    <w:p w14:paraId="2AAAEAFC">
      <w:pPr>
        <w:pStyle w:val="24"/>
        <w:spacing w:after="60"/>
        <w:ind w:left="360"/>
      </w:pPr>
      <w:r>
        <w:rPr>
          <w:rFonts w:ascii="Aptos" w:hAnsi="Aptos"/>
          <w:color w:val="233746"/>
          <w:sz w:val="20"/>
        </w:rPr>
        <w:t>9. Implications for WP3 and Project Outputs</w:t>
      </w:r>
    </w:p>
    <w:p w14:paraId="733D0553">
      <w:pPr>
        <w:pStyle w:val="24"/>
        <w:spacing w:after="60"/>
        <w:ind w:left="360"/>
      </w:pPr>
      <w:r>
        <w:rPr>
          <w:rFonts w:ascii="Aptos" w:hAnsi="Aptos"/>
          <w:color w:val="233746"/>
          <w:sz w:val="20"/>
        </w:rPr>
        <w:t>10. Data Protection, Ethics and Accessibility</w:t>
      </w:r>
    </w:p>
    <w:p w14:paraId="00DAA3AE">
      <w:pPr>
        <w:pStyle w:val="24"/>
        <w:spacing w:after="60"/>
        <w:ind w:left="360"/>
      </w:pPr>
      <w:r>
        <w:rPr>
          <w:rFonts w:ascii="Aptos" w:hAnsi="Aptos"/>
          <w:color w:val="233746"/>
          <w:sz w:val="20"/>
        </w:rPr>
        <w:t>11. Limitations</w:t>
      </w:r>
    </w:p>
    <w:p w14:paraId="1794AF0D">
      <w:pPr>
        <w:pStyle w:val="24"/>
        <w:spacing w:after="60"/>
        <w:ind w:left="360"/>
      </w:pPr>
      <w:r>
        <w:rPr>
          <w:rFonts w:ascii="Aptos" w:hAnsi="Aptos"/>
          <w:color w:val="233746"/>
          <w:sz w:val="20"/>
        </w:rPr>
        <w:t>12. Conclusions</w:t>
      </w:r>
    </w:p>
    <w:p w14:paraId="5F238BA5">
      <w:r>
        <w:br w:type="page"/>
      </w:r>
    </w:p>
    <w:p w14:paraId="6C81B446">
      <w:pPr>
        <w:pStyle w:val="2"/>
      </w:pPr>
      <w:r>
        <w:t>1. Executive Summary</w:t>
      </w:r>
    </w:p>
    <w:p w14:paraId="3F786DBC">
      <w:pPr>
        <w:spacing w:after="120" w:line="259" w:lineRule="auto"/>
      </w:pPr>
      <w:r>
        <w:rPr>
          <w:rFonts w:ascii="Aptos" w:hAnsi="Aptos"/>
          <w:color w:val="233746"/>
          <w:sz w:val="21"/>
        </w:rPr>
        <w:t>The SMART-UDL needs analysis was designed to identify barriers, support needs and current practices in English language learning and teaching, and to create an evidence base for the subsequent project outputs. The analysis brings together three target-group perspectives: students, teachers and parents/families. It is directly linked to the WP2 objective of informing the European Language Learning/Teaching Difficulties Report and the Inclusive Language Learning Implementation Framework Plan, which in turn guide WP3 content development.</w:t>
      </w:r>
    </w:p>
    <w:tbl>
      <w:tblPr>
        <w:tblStyle w:val="12"/>
        <w:tblW w:w="0" w:type="auto"/>
        <w:jc w:val="center"/>
        <w:tblLayout w:type="fixed"/>
        <w:tblCellMar>
          <w:top w:w="0" w:type="dxa"/>
          <w:left w:w="108" w:type="dxa"/>
          <w:bottom w:w="0" w:type="dxa"/>
          <w:right w:w="108" w:type="dxa"/>
        </w:tblCellMar>
      </w:tblPr>
      <w:tblGrid>
        <w:gridCol w:w="2520"/>
        <w:gridCol w:w="2520"/>
        <w:gridCol w:w="2520"/>
        <w:gridCol w:w="2520"/>
      </w:tblGrid>
      <w:tr w14:paraId="06254F5F">
        <w:trPr>
          <w:cantSplit/>
          <w:tblHeader/>
          <w:jc w:val="center"/>
        </w:trPr>
        <w:tc>
          <w:tcPr>
            <w:tcW w:w="2592" w:type="dxa"/>
            <w:shd w:val="clear" w:color="auto" w:fill="EAF3F6"/>
            <w:vAlign w:val="center"/>
          </w:tcPr>
          <w:p w14:paraId="0284E86E">
            <w:pPr>
              <w:jc w:val="center"/>
            </w:pPr>
            <w:r>
              <w:rPr>
                <w:rFonts w:ascii="Aptos" w:hAnsi="Aptos"/>
                <w:b/>
                <w:sz w:val="36"/>
              </w:rPr>
              <w:t>534</w:t>
            </w:r>
            <w:r>
              <w:rPr>
                <w:rFonts w:ascii="Aptos" w:hAnsi="Aptos"/>
                <w:b w:val="0"/>
                <w:sz w:val="21"/>
              </w:rPr>
              <w:br w:type="textWrapping"/>
            </w:r>
            <w:r>
              <w:rPr>
                <w:rFonts w:ascii="Aptos" w:hAnsi="Aptos"/>
                <w:b w:val="0"/>
                <w:sz w:val="21"/>
              </w:rPr>
              <w:t>student responses</w:t>
            </w:r>
          </w:p>
        </w:tc>
        <w:tc>
          <w:tcPr>
            <w:tcW w:w="2592" w:type="dxa"/>
            <w:shd w:val="clear" w:color="auto" w:fill="EAF3F6"/>
            <w:vAlign w:val="center"/>
          </w:tcPr>
          <w:p w14:paraId="03EBB081">
            <w:pPr>
              <w:jc w:val="center"/>
            </w:pPr>
            <w:r>
              <w:rPr>
                <w:rFonts w:hint="default"/>
                <w:b/>
                <w:bCs/>
                <w:sz w:val="36"/>
                <w:szCs w:val="36"/>
                <w:lang w:val="tr-TR"/>
              </w:rPr>
              <w:t>32</w:t>
            </w:r>
            <w:r>
              <w:rPr>
                <w:rFonts w:ascii="Aptos" w:hAnsi="Aptos"/>
                <w:b w:val="0"/>
                <w:sz w:val="21"/>
              </w:rPr>
              <w:br w:type="textWrapping"/>
            </w:r>
            <w:r>
              <w:rPr>
                <w:rFonts w:ascii="Aptos" w:hAnsi="Aptos"/>
                <w:b w:val="0"/>
                <w:sz w:val="21"/>
              </w:rPr>
              <w:t>teacher participants</w:t>
            </w:r>
          </w:p>
        </w:tc>
        <w:tc>
          <w:tcPr>
            <w:tcW w:w="2592" w:type="dxa"/>
            <w:shd w:val="clear" w:color="auto" w:fill="EAF3F6"/>
            <w:vAlign w:val="center"/>
          </w:tcPr>
          <w:p w14:paraId="0C060917">
            <w:pPr>
              <w:jc w:val="center"/>
            </w:pPr>
            <w:r>
              <w:rPr>
                <w:rFonts w:ascii="Aptos" w:hAnsi="Aptos"/>
                <w:b/>
                <w:sz w:val="36"/>
              </w:rPr>
              <w:t>92</w:t>
            </w:r>
            <w:r>
              <w:rPr>
                <w:rFonts w:ascii="Aptos" w:hAnsi="Aptos"/>
                <w:b w:val="0"/>
                <w:sz w:val="21"/>
              </w:rPr>
              <w:br w:type="textWrapping"/>
            </w:r>
            <w:r>
              <w:rPr>
                <w:rFonts w:ascii="Aptos" w:hAnsi="Aptos"/>
                <w:b w:val="0"/>
                <w:sz w:val="21"/>
              </w:rPr>
              <w:t>families in the parent comparison</w:t>
            </w:r>
          </w:p>
        </w:tc>
        <w:tc>
          <w:tcPr>
            <w:tcW w:w="2592" w:type="dxa"/>
            <w:shd w:val="clear" w:color="auto" w:fill="EAF3F6"/>
            <w:vAlign w:val="center"/>
          </w:tcPr>
          <w:p w14:paraId="1DDBC29A">
            <w:pPr>
              <w:jc w:val="center"/>
            </w:pPr>
            <w:r>
              <w:rPr>
                <w:rFonts w:ascii="Aptos" w:hAnsi="Aptos"/>
                <w:b/>
                <w:sz w:val="36"/>
              </w:rPr>
              <w:t>3</w:t>
            </w:r>
            <w:r>
              <w:rPr>
                <w:rFonts w:ascii="Aptos" w:hAnsi="Aptos"/>
                <w:b w:val="0"/>
                <w:sz w:val="21"/>
              </w:rPr>
              <w:br w:type="textWrapping"/>
            </w:r>
            <w:r>
              <w:rPr>
                <w:rFonts w:ascii="Aptos" w:hAnsi="Aptos"/>
                <w:b w:val="0"/>
                <w:sz w:val="21"/>
              </w:rPr>
              <w:t>school-based survey countries</w:t>
            </w:r>
          </w:p>
        </w:tc>
      </w:tr>
    </w:tbl>
    <w:p w14:paraId="71D58E14">
      <w:pPr>
        <w:spacing w:after="120" w:line="259" w:lineRule="auto"/>
      </w:pPr>
      <w:r>
        <w:rPr>
          <w:rFonts w:ascii="Aptos" w:hAnsi="Aptos"/>
          <w:color w:val="233746"/>
          <w:sz w:val="21"/>
        </w:rPr>
        <w:t>The student evidence shows a strong motivation to learn English but also substantial barriers in speaking, pronunciation, vocabulary, listening, confidence, access to technology and affordability of extra support. Teacher evidence indicates that ICT is present but not consistently embedded, while systematic use and knowledge of Universal Design for Learning (UDL) remain limited. Parent evidence shows major cross-country differences in home exposure, confidence and expectations, together with common demand for practical, interactive and low-threshold support.</w:t>
      </w:r>
    </w:p>
    <w:p w14:paraId="7CFCF9FA">
      <w:pPr>
        <w:spacing w:after="120" w:line="259" w:lineRule="auto"/>
      </w:pPr>
      <w:r>
        <w:rPr>
          <w:rFonts w:ascii="Aptos" w:hAnsi="Aptos"/>
          <w:color w:val="233746"/>
          <w:sz w:val="21"/>
        </w:rPr>
        <w:t>Across the three evidence streams, the most consistent priorities are: safe and frequent speaking practice; multimodal and engaging content; accessible digital tools; free or low-cost support; stronger teacher capacity in UDL; flexible ways for students to demonstrate learning; and simple resources that allow parents to support English at home without needing high English proficiency.</w:t>
      </w:r>
    </w:p>
    <w:p w14:paraId="5943492D">
      <w:pPr>
        <w:pStyle w:val="2"/>
      </w:pPr>
      <w:r>
        <w:t>2. Purpose and WP2 Context</w:t>
      </w:r>
    </w:p>
    <w:p w14:paraId="2AF6AAEE">
      <w:pPr>
        <w:spacing w:after="120" w:line="259" w:lineRule="auto"/>
      </w:pPr>
      <w:r>
        <w:rPr>
          <w:rFonts w:ascii="Aptos" w:hAnsi="Aptos"/>
          <w:color w:val="233746"/>
          <w:sz w:val="21"/>
        </w:rPr>
        <w:t>WP2 is the evidence-building stage of SMART-UDL. According to the approved application, the needs analysis should identify the processes and difficulties experienced in teaching and learning English, provide the basis for the European Language Learning/Teaching Difficulties Report, and inform a UDL-ICT integrated implementation framework for WP3. The work package also foresees native-language translations to increase accessibility and reduce language barriers.</w:t>
      </w:r>
    </w:p>
    <w:p w14:paraId="3D53C0B9">
      <w:pPr>
        <w:spacing w:after="120" w:line="259" w:lineRule="auto"/>
      </w:pPr>
      <w:r>
        <w:rPr>
          <w:rFonts w:ascii="Aptos" w:hAnsi="Aptos"/>
          <w:color w:val="233746"/>
          <w:sz w:val="21"/>
        </w:rPr>
        <w:t>This report therefore has three main functions:</w:t>
      </w:r>
    </w:p>
    <w:p w14:paraId="685F82CC">
      <w:pPr>
        <w:pStyle w:val="30"/>
        <w:spacing w:after="60"/>
      </w:pPr>
      <w:r>
        <w:rPr>
          <w:rFonts w:ascii="Aptos" w:hAnsi="Aptos"/>
          <w:color w:val="233746"/>
          <w:sz w:val="20"/>
        </w:rPr>
        <w:t>Consolidate the needs evidence collected from the project target groups.</w:t>
      </w:r>
    </w:p>
    <w:p w14:paraId="313BC570">
      <w:pPr>
        <w:pStyle w:val="30"/>
        <w:spacing w:after="60"/>
      </w:pPr>
      <w:r>
        <w:rPr>
          <w:rFonts w:ascii="Aptos" w:hAnsi="Aptos"/>
          <w:color w:val="233746"/>
          <w:sz w:val="20"/>
        </w:rPr>
        <w:t>Identify common and country-sensitive barriers relevant to inclusive English learning.</w:t>
      </w:r>
    </w:p>
    <w:p w14:paraId="5850F305">
      <w:pPr>
        <w:pStyle w:val="30"/>
        <w:spacing w:after="60"/>
      </w:pPr>
      <w:r>
        <w:rPr>
          <w:rFonts w:ascii="Aptos" w:hAnsi="Aptos"/>
          <w:color w:val="233746"/>
          <w:sz w:val="20"/>
        </w:rPr>
        <w:t>Translate the evidence into practical design requirements for the next project phase.</w:t>
      </w:r>
    </w:p>
    <w:p w14:paraId="6D22E056">
      <w:pPr>
        <w:pStyle w:val="2"/>
      </w:pPr>
      <w:r>
        <w:t>3. Methodology and Data Sources</w:t>
      </w:r>
    </w:p>
    <w:p w14:paraId="3094C3F7">
      <w:pPr>
        <w:pStyle w:val="3"/>
      </w:pPr>
      <w:r>
        <w:t>3.1 Evidence Streams</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8"/>
        <w:gridCol w:w="2359"/>
        <w:gridCol w:w="1507"/>
        <w:gridCol w:w="1930"/>
        <w:gridCol w:w="3062"/>
      </w:tblGrid>
      <w:tr w14:paraId="063F0B6B">
        <w:trPr>
          <w:cantSplit/>
          <w:tblHeader/>
          <w:jc w:val="center"/>
        </w:trPr>
        <w:tc>
          <w:tcPr>
            <w:tcW w:w="1440"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354DCCAE">
            <w:pPr>
              <w:spacing w:before="0" w:after="0" w:line="240" w:lineRule="auto"/>
            </w:pPr>
            <w:r>
              <w:rPr>
                <w:rFonts w:ascii="Aptos" w:hAnsi="Aptos"/>
                <w:b/>
                <w:color w:val="FFFFFF"/>
                <w:sz w:val="17"/>
              </w:rPr>
              <w:t>Target group</w:t>
            </w:r>
          </w:p>
        </w:tc>
        <w:tc>
          <w:tcPr>
            <w:tcW w:w="2376"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7FD31345">
            <w:pPr>
              <w:spacing w:before="0" w:after="0" w:line="240" w:lineRule="auto"/>
            </w:pPr>
            <w:r>
              <w:rPr>
                <w:rFonts w:ascii="Aptos" w:hAnsi="Aptos"/>
                <w:b/>
                <w:color w:val="FFFFFF"/>
                <w:sz w:val="17"/>
              </w:rPr>
              <w:t>Main source</w:t>
            </w:r>
          </w:p>
        </w:tc>
        <w:tc>
          <w:tcPr>
            <w:tcW w:w="1512"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24A285EB">
            <w:pPr>
              <w:spacing w:before="0" w:after="0" w:line="240" w:lineRule="auto"/>
            </w:pPr>
            <w:r>
              <w:rPr>
                <w:rFonts w:ascii="Aptos" w:hAnsi="Aptos"/>
                <w:b/>
                <w:color w:val="FFFFFF"/>
                <w:sz w:val="17"/>
              </w:rPr>
              <w:t>Coverage</w:t>
            </w:r>
          </w:p>
        </w:tc>
        <w:tc>
          <w:tcPr>
            <w:tcW w:w="1944"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064585F7">
            <w:pPr>
              <w:spacing w:before="0" w:after="0" w:line="240" w:lineRule="auto"/>
            </w:pPr>
            <w:r>
              <w:rPr>
                <w:rFonts w:ascii="Aptos" w:hAnsi="Aptos"/>
                <w:b/>
                <w:color w:val="FFFFFF"/>
                <w:sz w:val="17"/>
              </w:rPr>
              <w:t>Method</w:t>
            </w:r>
          </w:p>
        </w:tc>
        <w:tc>
          <w:tcPr>
            <w:tcW w:w="3096"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0E9036EA">
            <w:pPr>
              <w:spacing w:before="0" w:after="0" w:line="240" w:lineRule="auto"/>
            </w:pPr>
            <w:r>
              <w:rPr>
                <w:rFonts w:ascii="Aptos" w:hAnsi="Aptos"/>
                <w:b/>
                <w:color w:val="FFFFFF"/>
                <w:sz w:val="17"/>
              </w:rPr>
              <w:t>Role in this report</w:t>
            </w:r>
          </w:p>
        </w:tc>
      </w:tr>
      <w:tr w14:paraId="56A3E220">
        <w:trPr>
          <w:cantSplit/>
          <w:jc w:val="center"/>
        </w:trPr>
        <w:tc>
          <w:tcPr>
            <w:tcW w:w="1440" w:type="dxa"/>
            <w:tcBorders>
              <w:top w:val="single" w:color="B7C9D3" w:sz="4" w:space="0"/>
              <w:left w:val="single" w:color="B7C9D3" w:sz="4" w:space="0"/>
              <w:bottom w:val="single" w:color="B7C9D3" w:sz="4" w:space="0"/>
              <w:right w:val="single" w:color="B7C9D3" w:sz="4" w:space="0"/>
            </w:tcBorders>
            <w:vAlign w:val="center"/>
          </w:tcPr>
          <w:p w14:paraId="5899C943">
            <w:pPr>
              <w:spacing w:before="0" w:after="0" w:line="240" w:lineRule="auto"/>
            </w:pPr>
            <w:r>
              <w:rPr>
                <w:rFonts w:ascii="Aptos" w:hAnsi="Aptos"/>
                <w:b w:val="0"/>
                <w:color w:val="233746"/>
                <w:sz w:val="17"/>
              </w:rPr>
              <w:t>Students</w:t>
            </w:r>
          </w:p>
        </w:tc>
        <w:tc>
          <w:tcPr>
            <w:tcW w:w="2376" w:type="dxa"/>
            <w:tcBorders>
              <w:top w:val="single" w:color="B7C9D3" w:sz="4" w:space="0"/>
              <w:left w:val="single" w:color="B7C9D3" w:sz="4" w:space="0"/>
              <w:bottom w:val="single" w:color="B7C9D3" w:sz="4" w:space="0"/>
              <w:right w:val="single" w:color="B7C9D3" w:sz="4" w:space="0"/>
            </w:tcBorders>
            <w:vAlign w:val="center"/>
          </w:tcPr>
          <w:p w14:paraId="26C7CCFE">
            <w:pPr>
              <w:spacing w:before="0" w:after="0" w:line="240" w:lineRule="auto"/>
            </w:pPr>
            <w:r>
              <w:rPr>
                <w:rFonts w:ascii="Aptos" w:hAnsi="Aptos"/>
                <w:b w:val="0"/>
                <w:color w:val="233746"/>
                <w:sz w:val="17"/>
              </w:rPr>
              <w:t>Consolidated student questionnaire + Students Survey Results</w:t>
            </w:r>
          </w:p>
        </w:tc>
        <w:tc>
          <w:tcPr>
            <w:tcW w:w="1512" w:type="dxa"/>
            <w:tcBorders>
              <w:top w:val="single" w:color="B7C9D3" w:sz="4" w:space="0"/>
              <w:left w:val="single" w:color="B7C9D3" w:sz="4" w:space="0"/>
              <w:bottom w:val="single" w:color="B7C9D3" w:sz="4" w:space="0"/>
              <w:right w:val="single" w:color="B7C9D3" w:sz="4" w:space="0"/>
            </w:tcBorders>
            <w:vAlign w:val="center"/>
          </w:tcPr>
          <w:p w14:paraId="2E0EC691">
            <w:pPr>
              <w:spacing w:before="0" w:after="0" w:line="240" w:lineRule="auto"/>
            </w:pPr>
            <w:r>
              <w:rPr>
                <w:rFonts w:ascii="Aptos" w:hAnsi="Aptos"/>
                <w:b w:val="0"/>
                <w:color w:val="233746"/>
                <w:sz w:val="17"/>
              </w:rPr>
              <w:t>534 responses</w:t>
            </w:r>
          </w:p>
        </w:tc>
        <w:tc>
          <w:tcPr>
            <w:tcW w:w="1944" w:type="dxa"/>
            <w:tcBorders>
              <w:top w:val="single" w:color="B7C9D3" w:sz="4" w:space="0"/>
              <w:left w:val="single" w:color="B7C9D3" w:sz="4" w:space="0"/>
              <w:bottom w:val="single" w:color="B7C9D3" w:sz="4" w:space="0"/>
              <w:right w:val="single" w:color="B7C9D3" w:sz="4" w:space="0"/>
            </w:tcBorders>
            <w:vAlign w:val="center"/>
          </w:tcPr>
          <w:p w14:paraId="28AC7759">
            <w:pPr>
              <w:spacing w:before="0" w:after="0" w:line="240" w:lineRule="auto"/>
            </w:pPr>
            <w:r>
              <w:rPr>
                <w:rFonts w:ascii="Aptos" w:hAnsi="Aptos"/>
                <w:b w:val="0"/>
                <w:color w:val="233746"/>
                <w:sz w:val="17"/>
              </w:rPr>
              <w:t>Structured questionnaire with Likert-type, categorical and open-ended items</w:t>
            </w:r>
          </w:p>
        </w:tc>
        <w:tc>
          <w:tcPr>
            <w:tcW w:w="3096" w:type="dxa"/>
            <w:tcBorders>
              <w:top w:val="single" w:color="B7C9D3" w:sz="4" w:space="0"/>
              <w:left w:val="single" w:color="B7C9D3" w:sz="4" w:space="0"/>
              <w:bottom w:val="single" w:color="B7C9D3" w:sz="4" w:space="0"/>
              <w:right w:val="single" w:color="B7C9D3" w:sz="4" w:space="0"/>
            </w:tcBorders>
            <w:vAlign w:val="center"/>
          </w:tcPr>
          <w:p w14:paraId="0338D718">
            <w:pPr>
              <w:spacing w:before="0" w:after="0" w:line="240" w:lineRule="auto"/>
            </w:pPr>
            <w:r>
              <w:rPr>
                <w:rFonts w:ascii="Aptos" w:hAnsi="Aptos"/>
                <w:b w:val="0"/>
                <w:color w:val="233746"/>
                <w:sz w:val="17"/>
              </w:rPr>
              <w:t>Identifies learner barriers, motivation, access issues and preferred learning conditions.</w:t>
            </w:r>
          </w:p>
        </w:tc>
      </w:tr>
      <w:tr w14:paraId="07FF44EA">
        <w:trPr>
          <w:cantSplit/>
          <w:jc w:val="center"/>
        </w:trPr>
        <w:tc>
          <w:tcPr>
            <w:tcW w:w="1440" w:type="dxa"/>
            <w:tcBorders>
              <w:top w:val="single" w:color="B7C9D3" w:sz="4" w:space="0"/>
              <w:left w:val="single" w:color="B7C9D3" w:sz="4" w:space="0"/>
              <w:bottom w:val="single" w:color="B7C9D3" w:sz="4" w:space="0"/>
              <w:right w:val="single" w:color="B7C9D3" w:sz="4" w:space="0"/>
            </w:tcBorders>
            <w:vAlign w:val="center"/>
          </w:tcPr>
          <w:p w14:paraId="407B11FD">
            <w:pPr>
              <w:spacing w:before="0" w:after="0" w:line="240" w:lineRule="auto"/>
            </w:pPr>
            <w:r>
              <w:rPr>
                <w:rFonts w:ascii="Aptos" w:hAnsi="Aptos"/>
                <w:b w:val="0"/>
                <w:color w:val="233746"/>
                <w:sz w:val="17"/>
              </w:rPr>
              <w:t>Teachers</w:t>
            </w:r>
          </w:p>
        </w:tc>
        <w:tc>
          <w:tcPr>
            <w:tcW w:w="2376" w:type="dxa"/>
            <w:tcBorders>
              <w:top w:val="single" w:color="B7C9D3" w:sz="4" w:space="0"/>
              <w:left w:val="single" w:color="B7C9D3" w:sz="4" w:space="0"/>
              <w:bottom w:val="single" w:color="B7C9D3" w:sz="4" w:space="0"/>
              <w:right w:val="single" w:color="B7C9D3" w:sz="4" w:space="0"/>
            </w:tcBorders>
            <w:vAlign w:val="center"/>
          </w:tcPr>
          <w:p w14:paraId="2C9087DA">
            <w:pPr>
              <w:spacing w:after="0" w:line="240" w:lineRule="auto"/>
            </w:pPr>
            <w:r>
              <w:t>English Teaching Practices Questionnaire Results</w:t>
            </w:r>
          </w:p>
        </w:tc>
        <w:tc>
          <w:tcPr>
            <w:tcW w:w="1512" w:type="dxa"/>
            <w:tcBorders>
              <w:top w:val="single" w:color="B7C9D3" w:sz="4" w:space="0"/>
              <w:left w:val="single" w:color="B7C9D3" w:sz="4" w:space="0"/>
              <w:bottom w:val="single" w:color="B7C9D3" w:sz="4" w:space="0"/>
              <w:right w:val="single" w:color="B7C9D3" w:sz="4" w:space="0"/>
            </w:tcBorders>
            <w:vAlign w:val="center"/>
          </w:tcPr>
          <w:p w14:paraId="66C56B7C">
            <w:pPr>
              <w:spacing w:after="0" w:line="240" w:lineRule="auto"/>
            </w:pPr>
            <w:r>
              <w:t>43 participants</w:t>
            </w:r>
          </w:p>
        </w:tc>
        <w:tc>
          <w:tcPr>
            <w:tcW w:w="1944" w:type="dxa"/>
            <w:tcBorders>
              <w:top w:val="single" w:color="B7C9D3" w:sz="4" w:space="0"/>
              <w:left w:val="single" w:color="B7C9D3" w:sz="4" w:space="0"/>
              <w:bottom w:val="single" w:color="B7C9D3" w:sz="4" w:space="0"/>
              <w:right w:val="single" w:color="B7C9D3" w:sz="4" w:space="0"/>
            </w:tcBorders>
            <w:vAlign w:val="center"/>
          </w:tcPr>
          <w:p w14:paraId="59CD41F9">
            <w:pPr>
              <w:spacing w:before="0" w:after="0" w:line="240" w:lineRule="auto"/>
            </w:pPr>
            <w:r>
              <w:rPr>
                <w:rFonts w:ascii="Aptos" w:hAnsi="Aptos"/>
                <w:b w:val="0"/>
                <w:color w:val="233746"/>
                <w:sz w:val="17"/>
              </w:rPr>
              <w:t>Structured questionnaire + open-ended responses</w:t>
            </w:r>
          </w:p>
        </w:tc>
        <w:tc>
          <w:tcPr>
            <w:tcW w:w="3096" w:type="dxa"/>
            <w:tcBorders>
              <w:top w:val="single" w:color="B7C9D3" w:sz="4" w:space="0"/>
              <w:left w:val="single" w:color="B7C9D3" w:sz="4" w:space="0"/>
              <w:bottom w:val="single" w:color="B7C9D3" w:sz="4" w:space="0"/>
              <w:right w:val="single" w:color="B7C9D3" w:sz="4" w:space="0"/>
            </w:tcBorders>
            <w:vAlign w:val="center"/>
          </w:tcPr>
          <w:p w14:paraId="4F8F7E5F">
            <w:pPr>
              <w:spacing w:before="0" w:after="0" w:line="240" w:lineRule="auto"/>
            </w:pPr>
            <w:r>
              <w:rPr>
                <w:rFonts w:ascii="Aptos" w:hAnsi="Aptos"/>
                <w:b w:val="0"/>
                <w:color w:val="233746"/>
                <w:sz w:val="17"/>
              </w:rPr>
              <w:t>Identifies teaching practices, ICT use, UDL awareness, inclusion support and professional-development needs.</w:t>
            </w:r>
          </w:p>
        </w:tc>
      </w:tr>
      <w:tr w14:paraId="0BEFAADE">
        <w:trPr>
          <w:cantSplit/>
          <w:jc w:val="center"/>
        </w:trPr>
        <w:tc>
          <w:tcPr>
            <w:tcW w:w="1440" w:type="dxa"/>
            <w:tcBorders>
              <w:top w:val="single" w:color="B7C9D3" w:sz="4" w:space="0"/>
              <w:left w:val="single" w:color="B7C9D3" w:sz="4" w:space="0"/>
              <w:bottom w:val="single" w:color="B7C9D3" w:sz="4" w:space="0"/>
              <w:right w:val="single" w:color="B7C9D3" w:sz="4" w:space="0"/>
            </w:tcBorders>
            <w:vAlign w:val="center"/>
          </w:tcPr>
          <w:p w14:paraId="27FE3DCB">
            <w:pPr>
              <w:spacing w:before="0" w:after="0" w:line="240" w:lineRule="auto"/>
            </w:pPr>
            <w:r>
              <w:rPr>
                <w:rFonts w:ascii="Aptos" w:hAnsi="Aptos"/>
                <w:b w:val="0"/>
                <w:color w:val="233746"/>
                <w:sz w:val="17"/>
              </w:rPr>
              <w:t>Parents/Families</w:t>
            </w:r>
          </w:p>
        </w:tc>
        <w:tc>
          <w:tcPr>
            <w:tcW w:w="2376" w:type="dxa"/>
            <w:tcBorders>
              <w:top w:val="single" w:color="B7C9D3" w:sz="4" w:space="0"/>
              <w:left w:val="single" w:color="B7C9D3" w:sz="4" w:space="0"/>
              <w:bottom w:val="single" w:color="B7C9D3" w:sz="4" w:space="0"/>
              <w:right w:val="single" w:color="B7C9D3" w:sz="4" w:space="0"/>
            </w:tcBorders>
            <w:vAlign w:val="center"/>
          </w:tcPr>
          <w:p w14:paraId="45D5BCBA">
            <w:pPr>
              <w:spacing w:before="0" w:after="0" w:line="240" w:lineRule="auto"/>
            </w:pPr>
            <w:r>
              <w:rPr>
                <w:rFonts w:ascii="Aptos" w:hAnsi="Aptos"/>
                <w:b w:val="0"/>
                <w:color w:val="233746"/>
                <w:sz w:val="17"/>
              </w:rPr>
              <w:t>Partner Parent Survey: Cross-Country Comparison of Survey Results and Analysis</w:t>
            </w:r>
          </w:p>
        </w:tc>
        <w:tc>
          <w:tcPr>
            <w:tcW w:w="1512" w:type="dxa"/>
            <w:tcBorders>
              <w:top w:val="single" w:color="B7C9D3" w:sz="4" w:space="0"/>
              <w:left w:val="single" w:color="B7C9D3" w:sz="4" w:space="0"/>
              <w:bottom w:val="single" w:color="B7C9D3" w:sz="4" w:space="0"/>
              <w:right w:val="single" w:color="B7C9D3" w:sz="4" w:space="0"/>
            </w:tcBorders>
            <w:vAlign w:val="center"/>
          </w:tcPr>
          <w:p w14:paraId="702F3C32">
            <w:pPr>
              <w:spacing w:before="0" w:after="0" w:line="240" w:lineRule="auto"/>
            </w:pPr>
            <w:r>
              <w:rPr>
                <w:rFonts w:ascii="Aptos" w:hAnsi="Aptos"/>
                <w:b w:val="0"/>
                <w:color w:val="233746"/>
                <w:sz w:val="17"/>
              </w:rPr>
              <w:t>92 families from Sweden, Türkiye and Latvia</w:t>
            </w:r>
          </w:p>
        </w:tc>
        <w:tc>
          <w:tcPr>
            <w:tcW w:w="1944" w:type="dxa"/>
            <w:tcBorders>
              <w:top w:val="single" w:color="B7C9D3" w:sz="4" w:space="0"/>
              <w:left w:val="single" w:color="B7C9D3" w:sz="4" w:space="0"/>
              <w:bottom w:val="single" w:color="B7C9D3" w:sz="4" w:space="0"/>
              <w:right w:val="single" w:color="B7C9D3" w:sz="4" w:space="0"/>
            </w:tcBorders>
            <w:vAlign w:val="center"/>
          </w:tcPr>
          <w:p w14:paraId="6A6255F0">
            <w:pPr>
              <w:spacing w:before="0" w:after="0" w:line="240" w:lineRule="auto"/>
            </w:pPr>
            <w:r>
              <w:rPr>
                <w:rFonts w:ascii="Aptos" w:hAnsi="Aptos"/>
                <w:b w:val="0"/>
                <w:color w:val="233746"/>
                <w:sz w:val="17"/>
              </w:rPr>
              <w:t>Comparative parent questionnaire + qualitative comments</w:t>
            </w:r>
          </w:p>
        </w:tc>
        <w:tc>
          <w:tcPr>
            <w:tcW w:w="3096" w:type="dxa"/>
            <w:tcBorders>
              <w:top w:val="single" w:color="B7C9D3" w:sz="4" w:space="0"/>
              <w:left w:val="single" w:color="B7C9D3" w:sz="4" w:space="0"/>
              <w:bottom w:val="single" w:color="B7C9D3" w:sz="4" w:space="0"/>
              <w:right w:val="single" w:color="B7C9D3" w:sz="4" w:space="0"/>
            </w:tcBorders>
            <w:vAlign w:val="center"/>
          </w:tcPr>
          <w:p w14:paraId="35B05A39">
            <w:pPr>
              <w:spacing w:before="0" w:after="0" w:line="240" w:lineRule="auto"/>
            </w:pPr>
            <w:r>
              <w:rPr>
                <w:rFonts w:ascii="Aptos" w:hAnsi="Aptos"/>
                <w:b w:val="0"/>
                <w:color w:val="233746"/>
                <w:sz w:val="17"/>
              </w:rPr>
              <w:t>Identifies home exposure, parent confidence, school expectations and support needs.</w:t>
            </w:r>
          </w:p>
        </w:tc>
      </w:tr>
    </w:tbl>
    <w:p w14:paraId="708775C0">
      <w:pPr>
        <w:pStyle w:val="3"/>
      </w:pPr>
      <w:r>
        <w:t>3.2 Analytical Approach</w:t>
      </w:r>
    </w:p>
    <w:p w14:paraId="7C15571D">
      <w:pPr>
        <w:spacing w:after="120" w:line="259" w:lineRule="auto"/>
      </w:pPr>
      <w:r>
        <w:rPr>
          <w:rFonts w:ascii="Aptos" w:hAnsi="Aptos"/>
          <w:color w:val="233746"/>
          <w:sz w:val="21"/>
        </w:rPr>
        <w:t>The existing project analyses combine descriptive statistics with interpretation of open-ended responses. For this integrated report, the findings are grouped under learner needs, teaching-practice needs, home-support needs and cross-cutting UDL implications. The purpose is not to conduct inferential statistical testing, but to identify practical patterns that can guide the design, review and pilot implementation of project materials.</w:t>
      </w:r>
    </w:p>
    <w:p w14:paraId="65FB8E13">
      <w:pPr>
        <w:spacing w:after="120" w:line="259" w:lineRule="auto"/>
      </w:pPr>
      <w:r>
        <w:rPr>
          <w:rFonts w:ascii="Aptos" w:hAnsi="Aptos"/>
          <w:color w:val="233746"/>
          <w:sz w:val="21"/>
        </w:rPr>
        <w:t>Where numerical results are reported, they are reproduced from the project's analysed survey outputs. Qualitative comments are used only in anonymised form and are summarised by theme rather than linked to identifiable respondents.</w:t>
      </w:r>
    </w:p>
    <w:p w14:paraId="09D361FC">
      <w:pPr>
        <w:pStyle w:val="2"/>
      </w:pPr>
      <w:r>
        <w:t>4. Participant Profile and Coverage</w:t>
      </w:r>
    </w:p>
    <w:p w14:paraId="47BEF093">
      <w:pPr>
        <w:pStyle w:val="3"/>
      </w:pPr>
      <w:r>
        <w:t>4.1 Students</w:t>
      </w:r>
    </w:p>
    <w:p w14:paraId="7D1B44E9">
      <w:pPr>
        <w:spacing w:after="120" w:line="259" w:lineRule="auto"/>
      </w:pPr>
      <w:r>
        <w:rPr>
          <w:rFonts w:ascii="Aptos" w:hAnsi="Aptos"/>
          <w:color w:val="233746"/>
          <w:sz w:val="21"/>
        </w:rPr>
        <w:t>The student needs analysis includes 534 responses. The project summary reports that participants were primarily 9-13 years old, with 345 respondents in secondary school. The gender distribution was approximately balanced (50.9% girls and 49.1% boys). A large majority (429 students) identified themselves as Beginner or Pre-intermediate learners, making the evidence directly relevant to the project's A1-A2 focus.</w:t>
      </w:r>
    </w:p>
    <w:p w14:paraId="4DE54167">
      <w:pPr>
        <w:pStyle w:val="3"/>
      </w:pPr>
      <w:r>
        <w:t>4.2 Teachers</w:t>
      </w:r>
    </w:p>
    <w:p w14:paraId="1104F08B">
      <w:pPr>
        <w:spacing w:after="120" w:line="259" w:lineRule="auto"/>
      </w:pPr>
      <w:r>
        <w:rPr>
          <w:rFonts w:ascii="Aptos" w:hAnsi="Aptos"/>
          <w:color w:val="233746"/>
          <w:sz w:val="21"/>
        </w:rPr>
        <w:t>The analysed teacher report records 43 participants: 20 from Türkiye, 15 from Latvia and 8 from Sweden. Most respondents were female (76.7%), 58.1% taught at secondary level, and 69.8% reported more than ten years of English-teaching experience. More than half reported C1 English proficiency (53.5%). Digital competence was most often reported as intermediate (51.2%) or basic (37.2%).</w:t>
      </w:r>
    </w:p>
    <w:p w14:paraId="16963355">
      <w:pPr>
        <w:spacing w:after="120" w:line="259" w:lineRule="auto"/>
      </w:pPr>
      <w:r>
        <w:rPr>
          <w:rFonts w:ascii="Aptos" w:hAnsi="Aptos"/>
          <w:color w:val="233746"/>
          <w:sz w:val="21"/>
        </w:rPr>
        <w:t>Universidad Autónoma de Madrid (UAM) did not supply school-based teacher or parent respondents. Its WP2 contribution is academic and pedagogical: UDL expertise, methodological support and quality validation.</w:t>
      </w:r>
    </w:p>
    <w:p w14:paraId="3A29DB15">
      <w:pPr>
        <w:pStyle w:val="3"/>
      </w:pPr>
      <w:r>
        <w:t>4.3 Parents and Families</w:t>
      </w:r>
    </w:p>
    <w:p w14:paraId="7F5C9013">
      <w:pPr>
        <w:spacing w:after="120" w:line="259" w:lineRule="auto"/>
      </w:pPr>
      <w:r>
        <w:rPr>
          <w:rFonts w:ascii="Aptos" w:hAnsi="Aptos"/>
          <w:color w:val="233746"/>
          <w:sz w:val="21"/>
        </w:rPr>
        <w:t>The parent comparison covers 92 families from Sweden, Türkiye and Latvia. The Spanish university partner did not involve parents in this survey. The parent dataset is intentionally interpreted by country because the three contexts show meaningful differences in exposure to English, parent confidence and expectations of school support.</w:t>
      </w:r>
    </w:p>
    <w:p w14:paraId="56DC5EF7">
      <w:pPr>
        <w:pStyle w:val="2"/>
      </w:pPr>
      <w:r>
        <w:t>5. Student Needs</w:t>
      </w:r>
    </w:p>
    <w:p w14:paraId="1751F095">
      <w:pPr>
        <w:pStyle w:val="3"/>
      </w:pPr>
      <w:r>
        <w:t>5.1 Language-Skill Difficulties</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6"/>
        <w:gridCol w:w="2016"/>
        <w:gridCol w:w="5904"/>
      </w:tblGrid>
      <w:tr w14:paraId="05E09F4D">
        <w:trPr>
          <w:cantSplit/>
          <w:tblHeader/>
          <w:jc w:val="center"/>
        </w:trPr>
        <w:tc>
          <w:tcPr>
            <w:tcW w:w="2016"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3E697891">
            <w:pPr>
              <w:spacing w:before="0" w:after="0" w:line="240" w:lineRule="auto"/>
            </w:pPr>
            <w:r>
              <w:rPr>
                <w:rFonts w:ascii="Aptos" w:hAnsi="Aptos"/>
                <w:b/>
                <w:color w:val="FFFFFF"/>
                <w:sz w:val="18"/>
              </w:rPr>
              <w:t>Area</w:t>
            </w:r>
          </w:p>
        </w:tc>
        <w:tc>
          <w:tcPr>
            <w:tcW w:w="2016"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7CE39600">
            <w:pPr>
              <w:spacing w:before="0" w:after="0" w:line="240" w:lineRule="auto"/>
            </w:pPr>
            <w:r>
              <w:rPr>
                <w:rFonts w:ascii="Aptos" w:hAnsi="Aptos"/>
                <w:b/>
                <w:color w:val="FFFFFF"/>
                <w:sz w:val="18"/>
              </w:rPr>
              <w:t>High difficulty (4-5)</w:t>
            </w:r>
          </w:p>
        </w:tc>
        <w:tc>
          <w:tcPr>
            <w:tcW w:w="5904"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0ECF9DDE">
            <w:pPr>
              <w:spacing w:before="0" w:after="0" w:line="240" w:lineRule="auto"/>
            </w:pPr>
            <w:r>
              <w:rPr>
                <w:rFonts w:ascii="Aptos" w:hAnsi="Aptos"/>
                <w:b/>
                <w:color w:val="FFFFFF"/>
                <w:sz w:val="18"/>
              </w:rPr>
              <w:t>Interpretation</w:t>
            </w:r>
          </w:p>
        </w:tc>
      </w:tr>
      <w:tr w14:paraId="0F4D8F25">
        <w:trPr>
          <w:cantSplit/>
          <w:jc w:val="center"/>
        </w:trPr>
        <w:tc>
          <w:tcPr>
            <w:tcW w:w="2016" w:type="dxa"/>
            <w:tcBorders>
              <w:top w:val="single" w:color="B7C9D3" w:sz="4" w:space="0"/>
              <w:left w:val="single" w:color="B7C9D3" w:sz="4" w:space="0"/>
              <w:bottom w:val="single" w:color="B7C9D3" w:sz="4" w:space="0"/>
              <w:right w:val="single" w:color="B7C9D3" w:sz="4" w:space="0"/>
            </w:tcBorders>
            <w:vAlign w:val="center"/>
          </w:tcPr>
          <w:p w14:paraId="2D1B49DA">
            <w:pPr>
              <w:spacing w:before="0" w:after="0" w:line="240" w:lineRule="auto"/>
            </w:pPr>
            <w:r>
              <w:rPr>
                <w:rFonts w:ascii="Aptos" w:hAnsi="Aptos"/>
                <w:b w:val="0"/>
                <w:color w:val="233746"/>
                <w:sz w:val="18"/>
              </w:rPr>
              <w:t>Pronunciation</w:t>
            </w:r>
          </w:p>
        </w:tc>
        <w:tc>
          <w:tcPr>
            <w:tcW w:w="2016" w:type="dxa"/>
            <w:tcBorders>
              <w:top w:val="single" w:color="B7C9D3" w:sz="4" w:space="0"/>
              <w:left w:val="single" w:color="B7C9D3" w:sz="4" w:space="0"/>
              <w:bottom w:val="single" w:color="B7C9D3" w:sz="4" w:space="0"/>
              <w:right w:val="single" w:color="B7C9D3" w:sz="4" w:space="0"/>
            </w:tcBorders>
            <w:vAlign w:val="center"/>
          </w:tcPr>
          <w:p w14:paraId="2D619822">
            <w:pPr>
              <w:spacing w:before="0" w:after="0" w:line="240" w:lineRule="auto"/>
            </w:pPr>
            <w:r>
              <w:rPr>
                <w:rFonts w:ascii="Aptos" w:hAnsi="Aptos"/>
                <w:b w:val="0"/>
                <w:color w:val="233746"/>
                <w:sz w:val="18"/>
              </w:rPr>
              <w:t>79.6%</w:t>
            </w:r>
          </w:p>
        </w:tc>
        <w:tc>
          <w:tcPr>
            <w:tcW w:w="5904" w:type="dxa"/>
            <w:tcBorders>
              <w:top w:val="single" w:color="B7C9D3" w:sz="4" w:space="0"/>
              <w:left w:val="single" w:color="B7C9D3" w:sz="4" w:space="0"/>
              <w:bottom w:val="single" w:color="B7C9D3" w:sz="4" w:space="0"/>
              <w:right w:val="single" w:color="B7C9D3" w:sz="4" w:space="0"/>
            </w:tcBorders>
            <w:vAlign w:val="center"/>
          </w:tcPr>
          <w:p w14:paraId="67FBD5B9">
            <w:pPr>
              <w:spacing w:before="0" w:after="0" w:line="240" w:lineRule="auto"/>
            </w:pPr>
            <w:r>
              <w:rPr>
                <w:rFonts w:ascii="Aptos" w:hAnsi="Aptos"/>
                <w:b w:val="0"/>
                <w:color w:val="233746"/>
                <w:sz w:val="18"/>
              </w:rPr>
              <w:t>Pronunciation difficulty contributes to reduced confidence and oral participation.</w:t>
            </w:r>
          </w:p>
        </w:tc>
      </w:tr>
      <w:tr w14:paraId="5817BEC7">
        <w:trPr>
          <w:cantSplit/>
          <w:jc w:val="center"/>
        </w:trPr>
        <w:tc>
          <w:tcPr>
            <w:tcW w:w="2016" w:type="dxa"/>
            <w:tcBorders>
              <w:top w:val="single" w:color="B7C9D3" w:sz="4" w:space="0"/>
              <w:left w:val="single" w:color="B7C9D3" w:sz="4" w:space="0"/>
              <w:bottom w:val="single" w:color="B7C9D3" w:sz="4" w:space="0"/>
              <w:right w:val="single" w:color="B7C9D3" w:sz="4" w:space="0"/>
            </w:tcBorders>
            <w:vAlign w:val="center"/>
          </w:tcPr>
          <w:p w14:paraId="5CEBD557">
            <w:pPr>
              <w:spacing w:before="0" w:after="0" w:line="240" w:lineRule="auto"/>
            </w:pPr>
            <w:r>
              <w:rPr>
                <w:rFonts w:ascii="Aptos" w:hAnsi="Aptos"/>
                <w:b w:val="0"/>
                <w:color w:val="233746"/>
                <w:sz w:val="18"/>
              </w:rPr>
              <w:t>Speaking</w:t>
            </w:r>
          </w:p>
        </w:tc>
        <w:tc>
          <w:tcPr>
            <w:tcW w:w="2016" w:type="dxa"/>
            <w:tcBorders>
              <w:top w:val="single" w:color="B7C9D3" w:sz="4" w:space="0"/>
              <w:left w:val="single" w:color="B7C9D3" w:sz="4" w:space="0"/>
              <w:bottom w:val="single" w:color="B7C9D3" w:sz="4" w:space="0"/>
              <w:right w:val="single" w:color="B7C9D3" w:sz="4" w:space="0"/>
            </w:tcBorders>
            <w:vAlign w:val="center"/>
          </w:tcPr>
          <w:p w14:paraId="7EF51D49">
            <w:pPr>
              <w:spacing w:before="0" w:after="0" w:line="240" w:lineRule="auto"/>
            </w:pPr>
            <w:r>
              <w:rPr>
                <w:rFonts w:ascii="Aptos" w:hAnsi="Aptos"/>
                <w:b w:val="0"/>
                <w:color w:val="233746"/>
                <w:sz w:val="18"/>
              </w:rPr>
              <w:t>77.2%</w:t>
            </w:r>
          </w:p>
        </w:tc>
        <w:tc>
          <w:tcPr>
            <w:tcW w:w="5904" w:type="dxa"/>
            <w:tcBorders>
              <w:top w:val="single" w:color="B7C9D3" w:sz="4" w:space="0"/>
              <w:left w:val="single" w:color="B7C9D3" w:sz="4" w:space="0"/>
              <w:bottom w:val="single" w:color="B7C9D3" w:sz="4" w:space="0"/>
              <w:right w:val="single" w:color="B7C9D3" w:sz="4" w:space="0"/>
            </w:tcBorders>
            <w:vAlign w:val="center"/>
          </w:tcPr>
          <w:p w14:paraId="62A590A5">
            <w:pPr>
              <w:spacing w:before="0" w:after="0" w:line="240" w:lineRule="auto"/>
            </w:pPr>
            <w:r>
              <w:rPr>
                <w:rFonts w:ascii="Aptos" w:hAnsi="Aptos"/>
                <w:b w:val="0"/>
                <w:color w:val="233746"/>
                <w:sz w:val="18"/>
              </w:rPr>
              <w:t>Students need more low-pressure opportunities to speak and make mistakes safely.</w:t>
            </w:r>
          </w:p>
        </w:tc>
      </w:tr>
      <w:tr w14:paraId="0ECE5462">
        <w:trPr>
          <w:cantSplit/>
          <w:jc w:val="center"/>
        </w:trPr>
        <w:tc>
          <w:tcPr>
            <w:tcW w:w="2016" w:type="dxa"/>
            <w:tcBorders>
              <w:top w:val="single" w:color="B7C9D3" w:sz="4" w:space="0"/>
              <w:left w:val="single" w:color="B7C9D3" w:sz="4" w:space="0"/>
              <w:bottom w:val="single" w:color="B7C9D3" w:sz="4" w:space="0"/>
              <w:right w:val="single" w:color="B7C9D3" w:sz="4" w:space="0"/>
            </w:tcBorders>
            <w:vAlign w:val="center"/>
          </w:tcPr>
          <w:p w14:paraId="27ACBC66">
            <w:pPr>
              <w:spacing w:before="0" w:after="0" w:line="240" w:lineRule="auto"/>
            </w:pPr>
            <w:r>
              <w:rPr>
                <w:rFonts w:ascii="Aptos" w:hAnsi="Aptos"/>
                <w:b w:val="0"/>
                <w:color w:val="233746"/>
                <w:sz w:val="18"/>
              </w:rPr>
              <w:t>Vocabulary</w:t>
            </w:r>
          </w:p>
        </w:tc>
        <w:tc>
          <w:tcPr>
            <w:tcW w:w="2016" w:type="dxa"/>
            <w:tcBorders>
              <w:top w:val="single" w:color="B7C9D3" w:sz="4" w:space="0"/>
              <w:left w:val="single" w:color="B7C9D3" w:sz="4" w:space="0"/>
              <w:bottom w:val="single" w:color="B7C9D3" w:sz="4" w:space="0"/>
              <w:right w:val="single" w:color="B7C9D3" w:sz="4" w:space="0"/>
            </w:tcBorders>
            <w:vAlign w:val="center"/>
          </w:tcPr>
          <w:p w14:paraId="64D5A63D">
            <w:pPr>
              <w:spacing w:before="0" w:after="0" w:line="240" w:lineRule="auto"/>
            </w:pPr>
            <w:r>
              <w:rPr>
                <w:rFonts w:ascii="Aptos" w:hAnsi="Aptos"/>
                <w:b w:val="0"/>
                <w:color w:val="233746"/>
                <w:sz w:val="18"/>
              </w:rPr>
              <w:t>75.3%</w:t>
            </w:r>
          </w:p>
        </w:tc>
        <w:tc>
          <w:tcPr>
            <w:tcW w:w="5904" w:type="dxa"/>
            <w:tcBorders>
              <w:top w:val="single" w:color="B7C9D3" w:sz="4" w:space="0"/>
              <w:left w:val="single" w:color="B7C9D3" w:sz="4" w:space="0"/>
              <w:bottom w:val="single" w:color="B7C9D3" w:sz="4" w:space="0"/>
              <w:right w:val="single" w:color="B7C9D3" w:sz="4" w:space="0"/>
            </w:tcBorders>
            <w:vAlign w:val="center"/>
          </w:tcPr>
          <w:p w14:paraId="004B0B13">
            <w:pPr>
              <w:spacing w:before="0" w:after="0" w:line="240" w:lineRule="auto"/>
            </w:pPr>
            <w:r>
              <w:rPr>
                <w:rFonts w:ascii="Aptos" w:hAnsi="Aptos"/>
                <w:b w:val="0"/>
                <w:color w:val="233746"/>
                <w:sz w:val="18"/>
              </w:rPr>
              <w:t>Vocabulary limitations affect both comprehension and expression.</w:t>
            </w:r>
          </w:p>
        </w:tc>
      </w:tr>
      <w:tr w14:paraId="0C086FE5">
        <w:trPr>
          <w:cantSplit/>
          <w:jc w:val="center"/>
        </w:trPr>
        <w:tc>
          <w:tcPr>
            <w:tcW w:w="2016" w:type="dxa"/>
            <w:tcBorders>
              <w:top w:val="single" w:color="B7C9D3" w:sz="4" w:space="0"/>
              <w:left w:val="single" w:color="B7C9D3" w:sz="4" w:space="0"/>
              <w:bottom w:val="single" w:color="B7C9D3" w:sz="4" w:space="0"/>
              <w:right w:val="single" w:color="B7C9D3" w:sz="4" w:space="0"/>
            </w:tcBorders>
            <w:vAlign w:val="center"/>
          </w:tcPr>
          <w:p w14:paraId="332CA329">
            <w:pPr>
              <w:spacing w:before="0" w:after="0" w:line="240" w:lineRule="auto"/>
            </w:pPr>
            <w:r>
              <w:rPr>
                <w:rFonts w:ascii="Aptos" w:hAnsi="Aptos"/>
                <w:b w:val="0"/>
                <w:color w:val="233746"/>
                <w:sz w:val="18"/>
              </w:rPr>
              <w:t>Listening</w:t>
            </w:r>
          </w:p>
        </w:tc>
        <w:tc>
          <w:tcPr>
            <w:tcW w:w="2016" w:type="dxa"/>
            <w:tcBorders>
              <w:top w:val="single" w:color="B7C9D3" w:sz="4" w:space="0"/>
              <w:left w:val="single" w:color="B7C9D3" w:sz="4" w:space="0"/>
              <w:bottom w:val="single" w:color="B7C9D3" w:sz="4" w:space="0"/>
              <w:right w:val="single" w:color="B7C9D3" w:sz="4" w:space="0"/>
            </w:tcBorders>
            <w:vAlign w:val="center"/>
          </w:tcPr>
          <w:p w14:paraId="1C8A42B4">
            <w:pPr>
              <w:spacing w:before="0" w:after="0" w:line="240" w:lineRule="auto"/>
            </w:pPr>
            <w:r>
              <w:rPr>
                <w:rFonts w:ascii="Aptos" w:hAnsi="Aptos"/>
                <w:b w:val="0"/>
                <w:color w:val="233746"/>
                <w:sz w:val="18"/>
              </w:rPr>
              <w:t>72.8%</w:t>
            </w:r>
          </w:p>
        </w:tc>
        <w:tc>
          <w:tcPr>
            <w:tcW w:w="5904" w:type="dxa"/>
            <w:tcBorders>
              <w:top w:val="single" w:color="B7C9D3" w:sz="4" w:space="0"/>
              <w:left w:val="single" w:color="B7C9D3" w:sz="4" w:space="0"/>
              <w:bottom w:val="single" w:color="B7C9D3" w:sz="4" w:space="0"/>
              <w:right w:val="single" w:color="B7C9D3" w:sz="4" w:space="0"/>
            </w:tcBorders>
            <w:vAlign w:val="center"/>
          </w:tcPr>
          <w:p w14:paraId="67749CD7">
            <w:pPr>
              <w:spacing w:before="0" w:after="0" w:line="240" w:lineRule="auto"/>
            </w:pPr>
            <w:r>
              <w:rPr>
                <w:rFonts w:ascii="Aptos" w:hAnsi="Aptos"/>
                <w:b w:val="0"/>
                <w:color w:val="233746"/>
                <w:sz w:val="18"/>
              </w:rPr>
              <w:t>Students need slower, repeated and multimodal listening support.</w:t>
            </w:r>
          </w:p>
        </w:tc>
      </w:tr>
    </w:tbl>
    <w:p w14:paraId="256DAB85">
      <w:pPr>
        <w:pStyle w:val="3"/>
      </w:pPr>
      <w:r>
        <w:t>5.2 Confidence, Anxiety and Emotional Safety</w:t>
      </w:r>
    </w:p>
    <w:p w14:paraId="70658FA4">
      <w:pPr>
        <w:pStyle w:val="24"/>
        <w:spacing w:after="60"/>
        <w:ind w:left="360"/>
      </w:pPr>
      <w:r>
        <w:rPr>
          <w:rFonts w:ascii="Aptos" w:hAnsi="Aptos"/>
          <w:color w:val="233746"/>
          <w:sz w:val="20"/>
        </w:rPr>
        <w:t>76.3% of students reported low self-confidence in learning English.</w:t>
      </w:r>
    </w:p>
    <w:p w14:paraId="7F8DE7C5">
      <w:pPr>
        <w:pStyle w:val="24"/>
        <w:spacing w:after="60"/>
        <w:ind w:left="360"/>
      </w:pPr>
      <w:r>
        <w:rPr>
          <w:rFonts w:ascii="Aptos" w:hAnsi="Aptos"/>
          <w:color w:val="233746"/>
          <w:sz w:val="20"/>
        </w:rPr>
        <w:t>78.8% reported anxiety when speaking English in a group.</w:t>
      </w:r>
    </w:p>
    <w:p w14:paraId="500F9B57">
      <w:pPr>
        <w:pStyle w:val="24"/>
        <w:spacing w:after="60"/>
        <w:ind w:left="360"/>
      </w:pPr>
      <w:r>
        <w:rPr>
          <w:rFonts w:ascii="Aptos" w:hAnsi="Aptos"/>
          <w:color w:val="233746"/>
          <w:sz w:val="20"/>
        </w:rPr>
        <w:t>83.1% agreed that learning English can be stressful sometimes.</w:t>
      </w:r>
    </w:p>
    <w:p w14:paraId="6F01CDC9">
      <w:pPr>
        <w:pStyle w:val="24"/>
        <w:spacing w:after="60"/>
        <w:ind w:left="360"/>
      </w:pPr>
      <w:r>
        <w:rPr>
          <w:rFonts w:ascii="Aptos" w:hAnsi="Aptos"/>
          <w:color w:val="233746"/>
          <w:sz w:val="20"/>
        </w:rPr>
        <w:t>88.2% reported that teacher support makes learning easier, showing that positive feedback and encouragement are important protective factors.</w:t>
      </w:r>
    </w:p>
    <w:p w14:paraId="401BEFC3">
      <w:pPr>
        <w:spacing w:after="120" w:line="259" w:lineRule="auto"/>
      </w:pPr>
      <w:r>
        <w:rPr>
          <w:rFonts w:ascii="Aptos" w:hAnsi="Aptos"/>
          <w:color w:val="233746"/>
          <w:sz w:val="21"/>
        </w:rPr>
        <w:t>Open-ended student feedback reinforces these results. Students repeatedly asked for more speaking opportunities, more acceptance of mistakes, and supportive environments where they can practise without embarrassment. The qualitative analysis also identified teacher encouragement and emotional safety as key conditions for confidence.</w:t>
      </w:r>
    </w:p>
    <w:p w14:paraId="2E9D238D">
      <w:pPr>
        <w:pStyle w:val="3"/>
      </w:pPr>
      <w:r>
        <w:t>5.3 Access, Equity and Learning Conditions</w:t>
      </w:r>
    </w:p>
    <w:p w14:paraId="27E0059F">
      <w:pPr>
        <w:pStyle w:val="24"/>
        <w:spacing w:after="60"/>
        <w:ind w:left="360"/>
      </w:pPr>
      <w:r>
        <w:rPr>
          <w:rFonts w:ascii="Aptos" w:hAnsi="Aptos"/>
          <w:color w:val="233746"/>
          <w:sz w:val="20"/>
        </w:rPr>
        <w:t>88.4% reported that out-of-school resources such as courses, tutoring and supplementary books are financially challenging.</w:t>
      </w:r>
    </w:p>
    <w:p w14:paraId="6AC17E68">
      <w:pPr>
        <w:pStyle w:val="24"/>
        <w:spacing w:after="60"/>
        <w:ind w:left="360"/>
      </w:pPr>
      <w:r>
        <w:rPr>
          <w:rFonts w:ascii="Aptos" w:hAnsi="Aptos"/>
          <w:color w:val="233746"/>
          <w:sz w:val="20"/>
        </w:rPr>
        <w:t>83.3% reported that limited technological possibilities hinder learning.</w:t>
      </w:r>
    </w:p>
    <w:p w14:paraId="0B64C0E6">
      <w:pPr>
        <w:pStyle w:val="24"/>
        <w:spacing w:after="60"/>
        <w:ind w:left="360"/>
      </w:pPr>
      <w:r>
        <w:rPr>
          <w:rFonts w:ascii="Aptos" w:hAnsi="Aptos"/>
          <w:color w:val="233746"/>
          <w:sz w:val="20"/>
        </w:rPr>
        <w:t>66.9% reported not having a quiet study space at home.</w:t>
      </w:r>
    </w:p>
    <w:p w14:paraId="0824DD81">
      <w:pPr>
        <w:pStyle w:val="24"/>
        <w:spacing w:after="60"/>
        <w:ind w:left="360"/>
      </w:pPr>
      <w:r>
        <w:rPr>
          <w:rFonts w:ascii="Aptos" w:hAnsi="Aptos"/>
          <w:color w:val="233746"/>
          <w:sz w:val="20"/>
        </w:rPr>
        <w:t>63.1% reported limited family support or encouragement, while 63.9% reported insufficient time/space support at home.</w:t>
      </w:r>
    </w:p>
    <w:p w14:paraId="5CF09DEE">
      <w:pPr>
        <w:pStyle w:val="24"/>
        <w:spacing w:after="60"/>
        <w:ind w:left="360"/>
      </w:pPr>
      <w:r>
        <w:rPr>
          <w:rFonts w:ascii="Aptos" w:hAnsi="Aptos"/>
          <w:color w:val="233746"/>
          <w:sz w:val="20"/>
        </w:rPr>
        <w:t>85.6% considered school English lesson hours insufficient for their learning needs.</w:t>
      </w:r>
    </w:p>
    <w:p w14:paraId="2E51526F">
      <w:pPr>
        <w:spacing w:after="120" w:line="259" w:lineRule="auto"/>
      </w:pPr>
      <w:r>
        <w:rPr>
          <w:rFonts w:ascii="Aptos" w:hAnsi="Aptos"/>
          <w:color w:val="233746"/>
          <w:sz w:val="21"/>
        </w:rPr>
        <w:t>These findings support the project commitment to free, open-access and school-supported learning pathways. Digital solutions should be designed so that technology expands access rather than creating an additional barrier.</w:t>
      </w:r>
    </w:p>
    <w:p w14:paraId="59ECB832">
      <w:pPr>
        <w:pStyle w:val="3"/>
      </w:pPr>
      <w:r>
        <w:t>5.4 Engagement and Preferred Learning Approaches</w:t>
      </w:r>
    </w:p>
    <w:p w14:paraId="5BA664DF">
      <w:pPr>
        <w:pStyle w:val="24"/>
        <w:spacing w:after="60"/>
        <w:ind w:left="360"/>
      </w:pPr>
      <w:r>
        <w:rPr>
          <w:rFonts w:ascii="Aptos" w:hAnsi="Aptos"/>
          <w:color w:val="233746"/>
          <w:sz w:val="20"/>
        </w:rPr>
        <w:t>91.4% described learning English as meaningful and motivating.</w:t>
      </w:r>
    </w:p>
    <w:p w14:paraId="25A1625C">
      <w:pPr>
        <w:pStyle w:val="24"/>
        <w:spacing w:after="60"/>
        <w:ind w:left="360"/>
      </w:pPr>
      <w:r>
        <w:rPr>
          <w:rFonts w:ascii="Aptos" w:hAnsi="Aptos"/>
          <w:color w:val="233746"/>
          <w:sz w:val="20"/>
        </w:rPr>
        <w:t>91.6% believed learning would be easier with more digital games and applications.</w:t>
      </w:r>
    </w:p>
    <w:p w14:paraId="517ECD95">
      <w:pPr>
        <w:pStyle w:val="24"/>
        <w:spacing w:after="60"/>
        <w:ind w:left="360"/>
      </w:pPr>
      <w:r>
        <w:rPr>
          <w:rFonts w:ascii="Aptos" w:hAnsi="Aptos"/>
          <w:color w:val="233746"/>
          <w:sz w:val="20"/>
        </w:rPr>
        <w:t>55.6% did not find current lesson materials interesting or engaging.</w:t>
      </w:r>
    </w:p>
    <w:p w14:paraId="34B0FFBA">
      <w:pPr>
        <w:pStyle w:val="24"/>
        <w:spacing w:after="60"/>
        <w:ind w:left="360"/>
      </w:pPr>
      <w:r>
        <w:rPr>
          <w:rFonts w:ascii="Aptos" w:hAnsi="Aptos"/>
          <w:color w:val="233746"/>
          <w:sz w:val="20"/>
        </w:rPr>
        <w:t>87.4% believed they would be more successful with additional support or lessons.</w:t>
      </w:r>
    </w:p>
    <w:p w14:paraId="0F8A209F">
      <w:pPr>
        <w:pStyle w:val="24"/>
        <w:spacing w:after="60"/>
        <w:ind w:left="360"/>
      </w:pPr>
      <w:r>
        <w:rPr>
          <w:rFonts w:ascii="Aptos" w:hAnsi="Aptos"/>
          <w:color w:val="233746"/>
          <w:sz w:val="20"/>
        </w:rPr>
        <w:t>86.1% were interested in speaking clubs or oral events.</w:t>
      </w:r>
    </w:p>
    <w:p w14:paraId="6B57FFF2">
      <w:pPr>
        <w:pStyle w:val="24"/>
        <w:spacing w:after="60"/>
        <w:ind w:left="360"/>
      </w:pPr>
      <w:r>
        <w:rPr>
          <w:rFonts w:ascii="Aptos" w:hAnsi="Aptos"/>
          <w:color w:val="233746"/>
          <w:sz w:val="20"/>
        </w:rPr>
        <w:t>87.4% showed high interest in cultural exchange or international projects.</w:t>
      </w:r>
    </w:p>
    <w:p w14:paraId="03649B8A">
      <w:pPr>
        <w:pStyle w:val="24"/>
        <w:spacing w:after="60"/>
        <w:ind w:left="360"/>
      </w:pPr>
      <w:r>
        <w:rPr>
          <w:rFonts w:ascii="Aptos" w:hAnsi="Aptos"/>
          <w:color w:val="233746"/>
          <w:sz w:val="20"/>
        </w:rPr>
        <w:t>89.9% were clearly or potentially willing to participate in focus groups and contribute student voice.</w:t>
      </w:r>
    </w:p>
    <w:tbl>
      <w:tblPr>
        <w:tblStyle w:val="12"/>
        <w:tblW w:w="0" w:type="auto"/>
        <w:jc w:val="center"/>
        <w:tblLayout w:type="autofit"/>
        <w:tblCellMar>
          <w:top w:w="0" w:type="dxa"/>
          <w:left w:w="108" w:type="dxa"/>
          <w:bottom w:w="0" w:type="dxa"/>
          <w:right w:w="108" w:type="dxa"/>
        </w:tblCellMar>
      </w:tblPr>
      <w:tblGrid>
        <w:gridCol w:w="10080"/>
      </w:tblGrid>
      <w:tr w14:paraId="44AAA837">
        <w:trPr>
          <w:cantSplit/>
          <w:tblHeader/>
          <w:jc w:val="center"/>
        </w:trPr>
        <w:tc>
          <w:tcPr>
            <w:tcW w:w="10080" w:type="dxa"/>
            <w:shd w:val="clear" w:color="auto" w:fill="EAF3F6"/>
            <w:vAlign w:val="center"/>
          </w:tcPr>
          <w:p w14:paraId="78C8E497">
            <w:r>
              <w:rPr>
                <w:rFonts w:ascii="Aptos" w:hAnsi="Aptos"/>
                <w:b/>
                <w:color w:val="1F4E78"/>
                <w:sz w:val="20"/>
              </w:rPr>
              <w:t>Student design implication</w:t>
            </w:r>
            <w:r>
              <w:rPr>
                <w:rFonts w:ascii="Aptos" w:hAnsi="Aptos"/>
                <w:b/>
                <w:color w:val="1F4E78"/>
                <w:sz w:val="20"/>
              </w:rPr>
              <w:br w:type="textWrapping"/>
            </w:r>
            <w:r>
              <w:rPr>
                <w:rFonts w:ascii="Aptos" w:hAnsi="Aptos"/>
                <w:color w:val="233746"/>
                <w:sz w:val="19"/>
              </w:rPr>
              <w:t>High motivation is already present. The main challenge is to convert that motivation into participation by reducing speaking anxiety, increasing choice and interaction, and providing engaging multimodal practice.</w:t>
            </w:r>
          </w:p>
        </w:tc>
      </w:tr>
    </w:tbl>
    <w:p w14:paraId="6BCA08D5">
      <w:pPr>
        <w:pStyle w:val="2"/>
      </w:pPr>
      <w:r>
        <w:t>6. Teacher Needs and Teaching Practices</w:t>
      </w:r>
    </w:p>
    <w:p w14:paraId="2AD6D819">
      <w:pPr>
        <w:pStyle w:val="3"/>
      </w:pPr>
      <w:r>
        <w:t>6.1 ICT Use and Digital Capacity</w:t>
      </w:r>
    </w:p>
    <w:p w14:paraId="0B8459C9">
      <w:pPr>
        <w:spacing w:after="120" w:line="259" w:lineRule="auto"/>
      </w:pPr>
      <w:r>
        <w:rPr>
          <w:rFonts w:ascii="Aptos" w:hAnsi="Aptos"/>
          <w:color w:val="233746"/>
          <w:sz w:val="21"/>
        </w:rPr>
        <w:t>Teachers report that ICT is present in English teaching but is not fully embedded in daily practice. Smartboards are the most frequently reported device. ICT is used more consistently for receptive skills such as listening and reading than for productive skills such as speaking and writing. Mobile-phone use is generally restricted, with more than half of respondents reporting that phones are never allowed in English lessons.</w:t>
      </w:r>
    </w:p>
    <w:p w14:paraId="2537BB14">
      <w:pPr>
        <w:pStyle w:val="24"/>
        <w:spacing w:after="60"/>
        <w:ind w:left="360"/>
      </w:pPr>
      <w:r>
        <w:rPr>
          <w:rFonts w:ascii="Aptos" w:hAnsi="Aptos"/>
          <w:color w:val="233746"/>
          <w:sz w:val="20"/>
        </w:rPr>
        <w:t>Smartboards / interactive whiteboards are the most frequently reported classroom technology (56.3%).</w:t>
      </w:r>
    </w:p>
    <w:p w14:paraId="14D17A8A">
      <w:pPr>
        <w:pStyle w:val="24"/>
        <w:spacing w:after="60"/>
        <w:ind w:left="360"/>
      </w:pPr>
      <w:r>
        <w:rPr>
          <w:rFonts w:ascii="Aptos" w:hAnsi="Aptos"/>
          <w:color w:val="233746"/>
          <w:sz w:val="20"/>
        </w:rPr>
        <w:t>For listening, 43.8% reported using ICT often and 18.8% always.</w:t>
      </w:r>
    </w:p>
    <w:p w14:paraId="21C83C40">
      <w:pPr>
        <w:pStyle w:val="24"/>
        <w:spacing w:after="60"/>
        <w:ind w:left="360"/>
      </w:pPr>
      <w:r>
        <w:rPr>
          <w:rFonts w:ascii="Aptos" w:hAnsi="Aptos"/>
          <w:color w:val="233746"/>
          <w:sz w:val="20"/>
        </w:rPr>
        <w:t>For reading, 46.9% reported using ICT often and 6.3% always.</w:t>
      </w:r>
    </w:p>
    <w:p w14:paraId="5738D2E8">
      <w:pPr>
        <w:pStyle w:val="24"/>
        <w:spacing w:after="60"/>
        <w:ind w:left="360"/>
      </w:pPr>
      <w:r>
        <w:rPr>
          <w:rFonts w:ascii="Aptos" w:hAnsi="Aptos"/>
          <w:color w:val="233746"/>
          <w:sz w:val="20"/>
        </w:rPr>
        <w:t>Speaking and writing show less consistent digital integration.</w:t>
      </w:r>
    </w:p>
    <w:p w14:paraId="58EB07DC">
      <w:pPr>
        <w:pStyle w:val="24"/>
        <w:spacing w:after="60"/>
        <w:ind w:left="360"/>
      </w:pPr>
      <w:r>
        <w:rPr>
          <w:rFonts w:ascii="Aptos" w:hAnsi="Aptos"/>
          <w:color w:val="233746"/>
          <w:sz w:val="20"/>
        </w:rPr>
        <w:t>Teachers describe using Kahoot, Quizizz, Wordwall, Quizlet, EBA/OUP tools, Google tools, YouTube, audiobooks and digital stories; a small number also mention ChatGPT.</w:t>
      </w:r>
    </w:p>
    <w:p w14:paraId="50A8E40F">
      <w:pPr>
        <w:pStyle w:val="3"/>
      </w:pPr>
      <w:r>
        <w:t>6.2 UDL and Inclusive Practice</w:t>
      </w:r>
    </w:p>
    <w:p w14:paraId="2339E3CE">
      <w:pPr>
        <w:pStyle w:val="24"/>
        <w:spacing w:after="60"/>
        <w:ind w:left="360"/>
      </w:pPr>
      <w:r>
        <w:rPr>
          <w:rFonts w:ascii="Aptos" w:hAnsi="Aptos"/>
          <w:color w:val="233746"/>
          <w:sz w:val="20"/>
        </w:rPr>
        <w:t>31.3% reported never using UDL and 34.4% rarely using it in practice.</w:t>
      </w:r>
    </w:p>
    <w:p w14:paraId="732F5E25">
      <w:pPr>
        <w:pStyle w:val="24"/>
        <w:spacing w:after="60"/>
        <w:ind w:left="360"/>
      </w:pPr>
      <w:r>
        <w:rPr>
          <w:rFonts w:ascii="Aptos" w:hAnsi="Aptos"/>
          <w:color w:val="233746"/>
          <w:sz w:val="20"/>
        </w:rPr>
        <w:t>Only 9.4% said they knew UDL, while 46.9% were unsure whether they knew the methodology.</w:t>
      </w:r>
    </w:p>
    <w:p w14:paraId="0D28B65B">
      <w:pPr>
        <w:pStyle w:val="24"/>
        <w:spacing w:after="60"/>
        <w:ind w:left="360"/>
      </w:pPr>
      <w:r>
        <w:rPr>
          <w:rFonts w:ascii="Aptos" w:hAnsi="Aptos"/>
          <w:color w:val="233746"/>
          <w:sz w:val="20"/>
        </w:rPr>
        <w:t>71.9% reported having no additional human resources to support inclusion.</w:t>
      </w:r>
    </w:p>
    <w:p w14:paraId="61DB3AB8">
      <w:pPr>
        <w:pStyle w:val="24"/>
        <w:spacing w:after="60"/>
        <w:ind w:left="360"/>
      </w:pPr>
      <w:r>
        <w:rPr>
          <w:rFonts w:ascii="Aptos" w:hAnsi="Aptos"/>
          <w:color w:val="233746"/>
          <w:sz w:val="20"/>
        </w:rPr>
        <w:t>Curriculum adaptations are more common than systematic UDL or co-teaching approaches.</w:t>
      </w:r>
    </w:p>
    <w:p w14:paraId="2007018D">
      <w:pPr>
        <w:pStyle w:val="24"/>
        <w:spacing w:after="60"/>
        <w:ind w:left="360"/>
      </w:pPr>
      <w:r>
        <w:rPr>
          <w:rFonts w:ascii="Aptos" w:hAnsi="Aptos"/>
          <w:color w:val="233746"/>
          <w:sz w:val="20"/>
        </w:rPr>
        <w:t>Most respondents did not identify additional strategies for accessibility or diversity beyond the options already listed in the questionnaire.</w:t>
      </w:r>
    </w:p>
    <w:p w14:paraId="3C9CE014">
      <w:pPr>
        <w:spacing w:after="120" w:line="259" w:lineRule="auto"/>
      </w:pPr>
      <w:r>
        <w:rPr>
          <w:rFonts w:ascii="Aptos" w:hAnsi="Aptos"/>
          <w:color w:val="233746"/>
          <w:sz w:val="21"/>
        </w:rPr>
        <w:t>This is a strong justification for the project's Teacher Guide, UDL training, common lesson-design checklist and practical examples. The evidence suggests that teachers need concrete implementation support rather than only theoretical explanations of UDL.</w:t>
      </w:r>
    </w:p>
    <w:p w14:paraId="0B706E3E">
      <w:pPr>
        <w:pStyle w:val="3"/>
      </w:pPr>
      <w:r>
        <w:t>6.3 Professional Collaboration and Methodology</w:t>
      </w:r>
    </w:p>
    <w:p w14:paraId="576BD640">
      <w:pPr>
        <w:spacing w:after="120" w:line="259" w:lineRule="auto"/>
      </w:pPr>
      <w:r>
        <w:rPr>
          <w:rFonts w:ascii="Aptos" w:hAnsi="Aptos"/>
          <w:color w:val="233746"/>
          <w:sz w:val="21"/>
        </w:rPr>
        <w:t>Teacher responses show a mix of communicative, grammar-focused, reading/writing-focused and task-based approaches. Pair work, small-group work and individual work are relatively common, while flipped-classroom approaches are uncommon and gamification is generally used occasionally rather than consistently. Professional coordination among English teachers exists but is not universal.</w:t>
      </w:r>
    </w:p>
    <w:tbl>
      <w:tblPr>
        <w:tblStyle w:val="12"/>
        <w:tblW w:w="0" w:type="auto"/>
        <w:jc w:val="center"/>
        <w:tblLayout w:type="autofit"/>
        <w:tblCellMar>
          <w:top w:w="0" w:type="dxa"/>
          <w:left w:w="108" w:type="dxa"/>
          <w:bottom w:w="0" w:type="dxa"/>
          <w:right w:w="108" w:type="dxa"/>
        </w:tblCellMar>
      </w:tblPr>
      <w:tblGrid>
        <w:gridCol w:w="10080"/>
      </w:tblGrid>
      <w:tr w14:paraId="71CFDE5E">
        <w:trPr>
          <w:cantSplit/>
          <w:tblHeader/>
          <w:jc w:val="center"/>
        </w:trPr>
        <w:tc>
          <w:tcPr>
            <w:tcW w:w="10080" w:type="dxa"/>
            <w:shd w:val="clear" w:color="auto" w:fill="EAF3F6"/>
            <w:vAlign w:val="center"/>
          </w:tcPr>
          <w:p w14:paraId="24A30564">
            <w:r>
              <w:rPr>
                <w:rFonts w:ascii="Aptos" w:hAnsi="Aptos"/>
                <w:b/>
                <w:color w:val="1F4E78"/>
                <w:sz w:val="20"/>
              </w:rPr>
              <w:t>Teacher design implication</w:t>
            </w:r>
            <w:r>
              <w:rPr>
                <w:rFonts w:ascii="Aptos" w:hAnsi="Aptos"/>
                <w:b/>
                <w:color w:val="1F4E78"/>
                <w:sz w:val="20"/>
              </w:rPr>
              <w:br w:type="textWrapping"/>
            </w:r>
            <w:r>
              <w:rPr>
                <w:rFonts w:ascii="Aptos" w:hAnsi="Aptos"/>
                <w:color w:val="233746"/>
                <w:sz w:val="19"/>
              </w:rPr>
              <w:t>WP3 should provide ready-to-use examples, simple UDL decision rules, accessible digital alternatives and implementation guidance that teachers can apply without requiring advanced technical expertise.</w:t>
            </w:r>
          </w:p>
        </w:tc>
      </w:tr>
    </w:tbl>
    <w:p w14:paraId="3C7DD3FD">
      <w:pPr>
        <w:pStyle w:val="2"/>
      </w:pPr>
      <w:r>
        <w:t>7. Parent and Home-Support Needs</w:t>
      </w:r>
    </w:p>
    <w:p w14:paraId="60378156">
      <w:pPr>
        <w:pStyle w:val="3"/>
      </w:pPr>
      <w:r>
        <w:t>7.1 Cross-Country Differences</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00"/>
        <w:gridCol w:w="1584"/>
        <w:gridCol w:w="1584"/>
        <w:gridCol w:w="1584"/>
      </w:tblGrid>
      <w:tr w14:paraId="47D6BD50">
        <w:trPr>
          <w:cantSplit/>
          <w:tblHeader/>
          <w:jc w:val="center"/>
        </w:trPr>
        <w:tc>
          <w:tcPr>
            <w:tcW w:w="3600"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17AAC362">
            <w:pPr>
              <w:spacing w:before="0" w:after="0" w:line="240" w:lineRule="auto"/>
            </w:pPr>
            <w:r>
              <w:rPr>
                <w:rFonts w:ascii="Aptos" w:hAnsi="Aptos"/>
                <w:b/>
                <w:color w:val="FFFFFF"/>
                <w:sz w:val="18"/>
              </w:rPr>
              <w:t>Indicator</w:t>
            </w:r>
          </w:p>
        </w:tc>
        <w:tc>
          <w:tcPr>
            <w:tcW w:w="1584"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50171A97">
            <w:pPr>
              <w:spacing w:before="0" w:after="0" w:line="240" w:lineRule="auto"/>
            </w:pPr>
            <w:r>
              <w:rPr>
                <w:rFonts w:ascii="Aptos" w:hAnsi="Aptos"/>
                <w:b/>
                <w:color w:val="FFFFFF"/>
                <w:sz w:val="18"/>
              </w:rPr>
              <w:t>Sweden</w:t>
            </w:r>
          </w:p>
        </w:tc>
        <w:tc>
          <w:tcPr>
            <w:tcW w:w="1584"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09B13E1A">
            <w:pPr>
              <w:spacing w:before="0" w:after="0" w:line="240" w:lineRule="auto"/>
            </w:pPr>
            <w:r>
              <w:rPr>
                <w:rFonts w:ascii="Aptos" w:hAnsi="Aptos"/>
                <w:b/>
                <w:color w:val="FFFFFF"/>
                <w:sz w:val="18"/>
              </w:rPr>
              <w:t>Türkiye</w:t>
            </w:r>
          </w:p>
        </w:tc>
        <w:tc>
          <w:tcPr>
            <w:tcW w:w="1584"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4B35B0E3">
            <w:pPr>
              <w:spacing w:before="0" w:after="0" w:line="240" w:lineRule="auto"/>
            </w:pPr>
            <w:r>
              <w:rPr>
                <w:rFonts w:ascii="Aptos" w:hAnsi="Aptos"/>
                <w:b/>
                <w:color w:val="FFFFFF"/>
                <w:sz w:val="18"/>
              </w:rPr>
              <w:t>Latvia</w:t>
            </w:r>
          </w:p>
        </w:tc>
      </w:tr>
      <w:tr w14:paraId="5A73F1C8">
        <w:trPr>
          <w:cantSplit/>
          <w:jc w:val="center"/>
        </w:trPr>
        <w:tc>
          <w:tcPr>
            <w:tcW w:w="3600" w:type="dxa"/>
            <w:tcBorders>
              <w:top w:val="single" w:color="B7C9D3" w:sz="4" w:space="0"/>
              <w:left w:val="single" w:color="B7C9D3" w:sz="4" w:space="0"/>
              <w:bottom w:val="single" w:color="B7C9D3" w:sz="4" w:space="0"/>
              <w:right w:val="single" w:color="B7C9D3" w:sz="4" w:space="0"/>
            </w:tcBorders>
            <w:vAlign w:val="center"/>
          </w:tcPr>
          <w:p w14:paraId="01E45968">
            <w:pPr>
              <w:spacing w:before="0" w:after="0" w:line="240" w:lineRule="auto"/>
            </w:pPr>
            <w:r>
              <w:rPr>
                <w:rFonts w:ascii="Aptos" w:hAnsi="Aptos"/>
                <w:b w:val="0"/>
                <w:color w:val="233746"/>
                <w:sz w:val="18"/>
              </w:rPr>
              <w:t>Daily English use at home</w:t>
            </w:r>
          </w:p>
        </w:tc>
        <w:tc>
          <w:tcPr>
            <w:tcW w:w="1584" w:type="dxa"/>
            <w:tcBorders>
              <w:top w:val="single" w:color="B7C9D3" w:sz="4" w:space="0"/>
              <w:left w:val="single" w:color="B7C9D3" w:sz="4" w:space="0"/>
              <w:bottom w:val="single" w:color="B7C9D3" w:sz="4" w:space="0"/>
              <w:right w:val="single" w:color="B7C9D3" w:sz="4" w:space="0"/>
            </w:tcBorders>
            <w:vAlign w:val="center"/>
          </w:tcPr>
          <w:p w14:paraId="179F0DEA">
            <w:pPr>
              <w:spacing w:before="0" w:after="0" w:line="240" w:lineRule="auto"/>
            </w:pPr>
            <w:r>
              <w:rPr>
                <w:rFonts w:ascii="Aptos" w:hAnsi="Aptos"/>
                <w:b w:val="0"/>
                <w:color w:val="233746"/>
                <w:sz w:val="18"/>
              </w:rPr>
              <w:t>75%</w:t>
            </w:r>
          </w:p>
        </w:tc>
        <w:tc>
          <w:tcPr>
            <w:tcW w:w="1584" w:type="dxa"/>
            <w:tcBorders>
              <w:top w:val="single" w:color="B7C9D3" w:sz="4" w:space="0"/>
              <w:left w:val="single" w:color="B7C9D3" w:sz="4" w:space="0"/>
              <w:bottom w:val="single" w:color="B7C9D3" w:sz="4" w:space="0"/>
              <w:right w:val="single" w:color="B7C9D3" w:sz="4" w:space="0"/>
            </w:tcBorders>
            <w:vAlign w:val="center"/>
          </w:tcPr>
          <w:p w14:paraId="7EBF91C1">
            <w:pPr>
              <w:spacing w:before="0" w:after="0" w:line="240" w:lineRule="auto"/>
            </w:pPr>
            <w:r>
              <w:rPr>
                <w:rFonts w:ascii="Aptos" w:hAnsi="Aptos"/>
                <w:b w:val="0"/>
                <w:color w:val="233746"/>
                <w:sz w:val="18"/>
              </w:rPr>
              <w:t>30%</w:t>
            </w:r>
          </w:p>
        </w:tc>
        <w:tc>
          <w:tcPr>
            <w:tcW w:w="1584" w:type="dxa"/>
            <w:tcBorders>
              <w:top w:val="single" w:color="B7C9D3" w:sz="4" w:space="0"/>
              <w:left w:val="single" w:color="B7C9D3" w:sz="4" w:space="0"/>
              <w:bottom w:val="single" w:color="B7C9D3" w:sz="4" w:space="0"/>
              <w:right w:val="single" w:color="B7C9D3" w:sz="4" w:space="0"/>
            </w:tcBorders>
            <w:vAlign w:val="center"/>
          </w:tcPr>
          <w:p w14:paraId="447D54C6">
            <w:pPr>
              <w:spacing w:before="0" w:after="0" w:line="240" w:lineRule="auto"/>
            </w:pPr>
            <w:r>
              <w:rPr>
                <w:rFonts w:ascii="Aptos" w:hAnsi="Aptos"/>
                <w:b w:val="0"/>
                <w:color w:val="233746"/>
                <w:sz w:val="18"/>
              </w:rPr>
              <w:t>32%</w:t>
            </w:r>
          </w:p>
        </w:tc>
      </w:tr>
      <w:tr w14:paraId="04C68329">
        <w:trPr>
          <w:cantSplit/>
          <w:jc w:val="center"/>
        </w:trPr>
        <w:tc>
          <w:tcPr>
            <w:tcW w:w="3600" w:type="dxa"/>
            <w:tcBorders>
              <w:top w:val="single" w:color="B7C9D3" w:sz="4" w:space="0"/>
              <w:left w:val="single" w:color="B7C9D3" w:sz="4" w:space="0"/>
              <w:bottom w:val="single" w:color="B7C9D3" w:sz="4" w:space="0"/>
              <w:right w:val="single" w:color="B7C9D3" w:sz="4" w:space="0"/>
            </w:tcBorders>
            <w:vAlign w:val="center"/>
          </w:tcPr>
          <w:p w14:paraId="25B89B51">
            <w:pPr>
              <w:spacing w:before="0" w:after="0" w:line="240" w:lineRule="auto"/>
            </w:pPr>
            <w:r>
              <w:rPr>
                <w:rFonts w:ascii="Aptos" w:hAnsi="Aptos"/>
                <w:b w:val="0"/>
                <w:color w:val="233746"/>
                <w:sz w:val="18"/>
              </w:rPr>
              <w:t>Parent knowledge sufficient to help</w:t>
            </w:r>
          </w:p>
        </w:tc>
        <w:tc>
          <w:tcPr>
            <w:tcW w:w="1584" w:type="dxa"/>
            <w:tcBorders>
              <w:top w:val="single" w:color="B7C9D3" w:sz="4" w:space="0"/>
              <w:left w:val="single" w:color="B7C9D3" w:sz="4" w:space="0"/>
              <w:bottom w:val="single" w:color="B7C9D3" w:sz="4" w:space="0"/>
              <w:right w:val="single" w:color="B7C9D3" w:sz="4" w:space="0"/>
            </w:tcBorders>
            <w:vAlign w:val="center"/>
          </w:tcPr>
          <w:p w14:paraId="6BB89F43">
            <w:pPr>
              <w:spacing w:before="0" w:after="0" w:line="240" w:lineRule="auto"/>
            </w:pPr>
            <w:r>
              <w:rPr>
                <w:rFonts w:ascii="Aptos" w:hAnsi="Aptos"/>
                <w:b w:val="0"/>
                <w:color w:val="233746"/>
                <w:sz w:val="18"/>
              </w:rPr>
              <w:t>90%</w:t>
            </w:r>
          </w:p>
        </w:tc>
        <w:tc>
          <w:tcPr>
            <w:tcW w:w="1584" w:type="dxa"/>
            <w:tcBorders>
              <w:top w:val="single" w:color="B7C9D3" w:sz="4" w:space="0"/>
              <w:left w:val="single" w:color="B7C9D3" w:sz="4" w:space="0"/>
              <w:bottom w:val="single" w:color="B7C9D3" w:sz="4" w:space="0"/>
              <w:right w:val="single" w:color="B7C9D3" w:sz="4" w:space="0"/>
            </w:tcBorders>
            <w:vAlign w:val="center"/>
          </w:tcPr>
          <w:p w14:paraId="3E28636C">
            <w:pPr>
              <w:spacing w:before="0" w:after="0" w:line="240" w:lineRule="auto"/>
            </w:pPr>
            <w:r>
              <w:rPr>
                <w:rFonts w:ascii="Aptos" w:hAnsi="Aptos"/>
                <w:b w:val="0"/>
                <w:color w:val="233746"/>
                <w:sz w:val="18"/>
              </w:rPr>
              <w:t>22%</w:t>
            </w:r>
          </w:p>
        </w:tc>
        <w:tc>
          <w:tcPr>
            <w:tcW w:w="1584" w:type="dxa"/>
            <w:tcBorders>
              <w:top w:val="single" w:color="B7C9D3" w:sz="4" w:space="0"/>
              <w:left w:val="single" w:color="B7C9D3" w:sz="4" w:space="0"/>
              <w:bottom w:val="single" w:color="B7C9D3" w:sz="4" w:space="0"/>
              <w:right w:val="single" w:color="B7C9D3" w:sz="4" w:space="0"/>
            </w:tcBorders>
            <w:vAlign w:val="center"/>
          </w:tcPr>
          <w:p w14:paraId="05969BA2">
            <w:pPr>
              <w:spacing w:before="0" w:after="0" w:line="240" w:lineRule="auto"/>
            </w:pPr>
            <w:r>
              <w:rPr>
                <w:rFonts w:ascii="Aptos" w:hAnsi="Aptos"/>
                <w:b w:val="0"/>
                <w:color w:val="233746"/>
                <w:sz w:val="18"/>
              </w:rPr>
              <w:t>32%</w:t>
            </w:r>
          </w:p>
        </w:tc>
      </w:tr>
      <w:tr w14:paraId="20748902">
        <w:trPr>
          <w:cantSplit/>
          <w:jc w:val="center"/>
        </w:trPr>
        <w:tc>
          <w:tcPr>
            <w:tcW w:w="3600" w:type="dxa"/>
            <w:tcBorders>
              <w:top w:val="single" w:color="B7C9D3" w:sz="4" w:space="0"/>
              <w:left w:val="single" w:color="B7C9D3" w:sz="4" w:space="0"/>
              <w:bottom w:val="single" w:color="B7C9D3" w:sz="4" w:space="0"/>
              <w:right w:val="single" w:color="B7C9D3" w:sz="4" w:space="0"/>
            </w:tcBorders>
            <w:vAlign w:val="center"/>
          </w:tcPr>
          <w:p w14:paraId="4E77EB46">
            <w:pPr>
              <w:spacing w:before="0" w:after="0" w:line="240" w:lineRule="auto"/>
            </w:pPr>
            <w:r>
              <w:rPr>
                <w:rFonts w:ascii="Aptos" w:hAnsi="Aptos"/>
                <w:b w:val="0"/>
                <w:color w:val="233746"/>
                <w:sz w:val="18"/>
              </w:rPr>
              <w:t>Digital confidence</w:t>
            </w:r>
          </w:p>
        </w:tc>
        <w:tc>
          <w:tcPr>
            <w:tcW w:w="1584" w:type="dxa"/>
            <w:tcBorders>
              <w:top w:val="single" w:color="B7C9D3" w:sz="4" w:space="0"/>
              <w:left w:val="single" w:color="B7C9D3" w:sz="4" w:space="0"/>
              <w:bottom w:val="single" w:color="B7C9D3" w:sz="4" w:space="0"/>
              <w:right w:val="single" w:color="B7C9D3" w:sz="4" w:space="0"/>
            </w:tcBorders>
            <w:vAlign w:val="center"/>
          </w:tcPr>
          <w:p w14:paraId="54C7F495">
            <w:pPr>
              <w:spacing w:before="0" w:after="0" w:line="240" w:lineRule="auto"/>
            </w:pPr>
            <w:r>
              <w:rPr>
                <w:rFonts w:ascii="Aptos" w:hAnsi="Aptos"/>
                <w:b w:val="0"/>
                <w:color w:val="233746"/>
                <w:sz w:val="18"/>
              </w:rPr>
              <w:t>85%</w:t>
            </w:r>
          </w:p>
        </w:tc>
        <w:tc>
          <w:tcPr>
            <w:tcW w:w="1584" w:type="dxa"/>
            <w:tcBorders>
              <w:top w:val="single" w:color="B7C9D3" w:sz="4" w:space="0"/>
              <w:left w:val="single" w:color="B7C9D3" w:sz="4" w:space="0"/>
              <w:bottom w:val="single" w:color="B7C9D3" w:sz="4" w:space="0"/>
              <w:right w:val="single" w:color="B7C9D3" w:sz="4" w:space="0"/>
            </w:tcBorders>
            <w:vAlign w:val="center"/>
          </w:tcPr>
          <w:p w14:paraId="60A36DD5">
            <w:pPr>
              <w:spacing w:before="0" w:after="0" w:line="240" w:lineRule="auto"/>
            </w:pPr>
            <w:r>
              <w:rPr>
                <w:rFonts w:ascii="Aptos" w:hAnsi="Aptos"/>
                <w:b w:val="0"/>
                <w:color w:val="233746"/>
                <w:sz w:val="18"/>
              </w:rPr>
              <w:t>53%</w:t>
            </w:r>
          </w:p>
        </w:tc>
        <w:tc>
          <w:tcPr>
            <w:tcW w:w="1584" w:type="dxa"/>
            <w:tcBorders>
              <w:top w:val="single" w:color="B7C9D3" w:sz="4" w:space="0"/>
              <w:left w:val="single" w:color="B7C9D3" w:sz="4" w:space="0"/>
              <w:bottom w:val="single" w:color="B7C9D3" w:sz="4" w:space="0"/>
              <w:right w:val="single" w:color="B7C9D3" w:sz="4" w:space="0"/>
            </w:tcBorders>
            <w:vAlign w:val="center"/>
          </w:tcPr>
          <w:p w14:paraId="06250A3D">
            <w:pPr>
              <w:spacing w:before="0" w:after="0" w:line="240" w:lineRule="auto"/>
            </w:pPr>
            <w:r>
              <w:rPr>
                <w:rFonts w:ascii="Aptos" w:hAnsi="Aptos"/>
                <w:b w:val="0"/>
                <w:color w:val="233746"/>
                <w:sz w:val="18"/>
              </w:rPr>
              <w:t>46%</w:t>
            </w:r>
          </w:p>
        </w:tc>
      </w:tr>
      <w:tr w14:paraId="47F07A5E">
        <w:trPr>
          <w:cantSplit/>
          <w:jc w:val="center"/>
        </w:trPr>
        <w:tc>
          <w:tcPr>
            <w:tcW w:w="3600" w:type="dxa"/>
            <w:tcBorders>
              <w:top w:val="single" w:color="B7C9D3" w:sz="4" w:space="0"/>
              <w:left w:val="single" w:color="B7C9D3" w:sz="4" w:space="0"/>
              <w:bottom w:val="single" w:color="B7C9D3" w:sz="4" w:space="0"/>
              <w:right w:val="single" w:color="B7C9D3" w:sz="4" w:space="0"/>
            </w:tcBorders>
            <w:vAlign w:val="center"/>
          </w:tcPr>
          <w:p w14:paraId="50C16BFB">
            <w:pPr>
              <w:spacing w:before="0" w:after="0" w:line="240" w:lineRule="auto"/>
            </w:pPr>
            <w:r>
              <w:rPr>
                <w:rFonts w:ascii="Aptos" w:hAnsi="Aptos"/>
                <w:b w:val="0"/>
                <w:color w:val="233746"/>
                <w:sz w:val="18"/>
              </w:rPr>
              <w:t>School satisfaction</w:t>
            </w:r>
          </w:p>
        </w:tc>
        <w:tc>
          <w:tcPr>
            <w:tcW w:w="1584" w:type="dxa"/>
            <w:tcBorders>
              <w:top w:val="single" w:color="B7C9D3" w:sz="4" w:space="0"/>
              <w:left w:val="single" w:color="B7C9D3" w:sz="4" w:space="0"/>
              <w:bottom w:val="single" w:color="B7C9D3" w:sz="4" w:space="0"/>
              <w:right w:val="single" w:color="B7C9D3" w:sz="4" w:space="0"/>
            </w:tcBorders>
            <w:vAlign w:val="center"/>
          </w:tcPr>
          <w:p w14:paraId="52F760D8">
            <w:pPr>
              <w:spacing w:before="0" w:after="0" w:line="240" w:lineRule="auto"/>
            </w:pPr>
            <w:r>
              <w:rPr>
                <w:rFonts w:ascii="Aptos" w:hAnsi="Aptos"/>
                <w:b w:val="0"/>
                <w:color w:val="233746"/>
                <w:sz w:val="18"/>
              </w:rPr>
              <w:t>45%</w:t>
            </w:r>
          </w:p>
        </w:tc>
        <w:tc>
          <w:tcPr>
            <w:tcW w:w="1584" w:type="dxa"/>
            <w:tcBorders>
              <w:top w:val="single" w:color="B7C9D3" w:sz="4" w:space="0"/>
              <w:left w:val="single" w:color="B7C9D3" w:sz="4" w:space="0"/>
              <w:bottom w:val="single" w:color="B7C9D3" w:sz="4" w:space="0"/>
              <w:right w:val="single" w:color="B7C9D3" w:sz="4" w:space="0"/>
            </w:tcBorders>
            <w:vAlign w:val="center"/>
          </w:tcPr>
          <w:p w14:paraId="7405C9BA">
            <w:pPr>
              <w:spacing w:before="0" w:after="0" w:line="240" w:lineRule="auto"/>
            </w:pPr>
            <w:r>
              <w:rPr>
                <w:rFonts w:ascii="Aptos" w:hAnsi="Aptos"/>
                <w:b w:val="0"/>
                <w:color w:val="233746"/>
                <w:sz w:val="18"/>
              </w:rPr>
              <w:t>26%</w:t>
            </w:r>
          </w:p>
        </w:tc>
        <w:tc>
          <w:tcPr>
            <w:tcW w:w="1584" w:type="dxa"/>
            <w:tcBorders>
              <w:top w:val="single" w:color="B7C9D3" w:sz="4" w:space="0"/>
              <w:left w:val="single" w:color="B7C9D3" w:sz="4" w:space="0"/>
              <w:bottom w:val="single" w:color="B7C9D3" w:sz="4" w:space="0"/>
              <w:right w:val="single" w:color="B7C9D3" w:sz="4" w:space="0"/>
            </w:tcBorders>
            <w:vAlign w:val="center"/>
          </w:tcPr>
          <w:p w14:paraId="5EE25D96">
            <w:pPr>
              <w:spacing w:before="0" w:after="0" w:line="240" w:lineRule="auto"/>
            </w:pPr>
            <w:r>
              <w:rPr>
                <w:rFonts w:ascii="Aptos" w:hAnsi="Aptos"/>
                <w:b w:val="0"/>
                <w:color w:val="233746"/>
                <w:sz w:val="18"/>
              </w:rPr>
              <w:t>71%</w:t>
            </w:r>
          </w:p>
        </w:tc>
      </w:tr>
      <w:tr w14:paraId="3FFD5265">
        <w:trPr>
          <w:cantSplit/>
          <w:jc w:val="center"/>
        </w:trPr>
        <w:tc>
          <w:tcPr>
            <w:tcW w:w="3600" w:type="dxa"/>
            <w:tcBorders>
              <w:top w:val="single" w:color="B7C9D3" w:sz="4" w:space="0"/>
              <w:left w:val="single" w:color="B7C9D3" w:sz="4" w:space="0"/>
              <w:bottom w:val="single" w:color="B7C9D3" w:sz="4" w:space="0"/>
              <w:right w:val="single" w:color="B7C9D3" w:sz="4" w:space="0"/>
            </w:tcBorders>
            <w:vAlign w:val="center"/>
          </w:tcPr>
          <w:p w14:paraId="5519F0CD">
            <w:pPr>
              <w:spacing w:before="0" w:after="0" w:line="240" w:lineRule="auto"/>
            </w:pPr>
            <w:r>
              <w:rPr>
                <w:rFonts w:ascii="Aptos" w:hAnsi="Aptos"/>
                <w:b w:val="0"/>
                <w:color w:val="233746"/>
                <w:sz w:val="18"/>
              </w:rPr>
              <w:t>Child speaking/listening difficulty</w:t>
            </w:r>
          </w:p>
        </w:tc>
        <w:tc>
          <w:tcPr>
            <w:tcW w:w="1584" w:type="dxa"/>
            <w:tcBorders>
              <w:top w:val="single" w:color="B7C9D3" w:sz="4" w:space="0"/>
              <w:left w:val="single" w:color="B7C9D3" w:sz="4" w:space="0"/>
              <w:bottom w:val="single" w:color="B7C9D3" w:sz="4" w:space="0"/>
              <w:right w:val="single" w:color="B7C9D3" w:sz="4" w:space="0"/>
            </w:tcBorders>
            <w:vAlign w:val="center"/>
          </w:tcPr>
          <w:p w14:paraId="4E14266E">
            <w:pPr>
              <w:spacing w:before="0" w:after="0" w:line="240" w:lineRule="auto"/>
            </w:pPr>
            <w:r>
              <w:rPr>
                <w:rFonts w:ascii="Aptos" w:hAnsi="Aptos"/>
                <w:b w:val="0"/>
                <w:color w:val="233746"/>
                <w:sz w:val="18"/>
              </w:rPr>
              <w:t>10%</w:t>
            </w:r>
          </w:p>
        </w:tc>
        <w:tc>
          <w:tcPr>
            <w:tcW w:w="1584" w:type="dxa"/>
            <w:tcBorders>
              <w:top w:val="single" w:color="B7C9D3" w:sz="4" w:space="0"/>
              <w:left w:val="single" w:color="B7C9D3" w:sz="4" w:space="0"/>
              <w:bottom w:val="single" w:color="B7C9D3" w:sz="4" w:space="0"/>
              <w:right w:val="single" w:color="B7C9D3" w:sz="4" w:space="0"/>
            </w:tcBorders>
            <w:vAlign w:val="center"/>
          </w:tcPr>
          <w:p w14:paraId="74778816">
            <w:pPr>
              <w:spacing w:before="0" w:after="0" w:line="240" w:lineRule="auto"/>
            </w:pPr>
            <w:r>
              <w:rPr>
                <w:rFonts w:ascii="Aptos" w:hAnsi="Aptos"/>
                <w:b w:val="0"/>
                <w:color w:val="233746"/>
                <w:sz w:val="18"/>
              </w:rPr>
              <w:t>67%</w:t>
            </w:r>
          </w:p>
        </w:tc>
        <w:tc>
          <w:tcPr>
            <w:tcW w:w="1584" w:type="dxa"/>
            <w:tcBorders>
              <w:top w:val="single" w:color="B7C9D3" w:sz="4" w:space="0"/>
              <w:left w:val="single" w:color="B7C9D3" w:sz="4" w:space="0"/>
              <w:bottom w:val="single" w:color="B7C9D3" w:sz="4" w:space="0"/>
              <w:right w:val="single" w:color="B7C9D3" w:sz="4" w:space="0"/>
            </w:tcBorders>
            <w:vAlign w:val="center"/>
          </w:tcPr>
          <w:p w14:paraId="51EC6ACF">
            <w:pPr>
              <w:spacing w:before="0" w:after="0" w:line="240" w:lineRule="auto"/>
            </w:pPr>
            <w:r>
              <w:rPr>
                <w:rFonts w:ascii="Aptos" w:hAnsi="Aptos"/>
                <w:b w:val="0"/>
                <w:color w:val="233746"/>
                <w:sz w:val="18"/>
              </w:rPr>
              <w:t>18%</w:t>
            </w:r>
          </w:p>
        </w:tc>
      </w:tr>
    </w:tbl>
    <w:p w14:paraId="017EA62C">
      <w:pPr>
        <w:spacing w:after="120" w:line="259" w:lineRule="auto"/>
      </w:pPr>
      <w:r>
        <w:rPr>
          <w:rFonts w:ascii="Aptos" w:hAnsi="Aptos"/>
          <w:color w:val="233746"/>
          <w:sz w:val="21"/>
        </w:rPr>
        <w:t>The parent evidence shows that families do not start from the same position. Sweden has much higher daily exposure to English and parent confidence, while Türkiye and Latvia show stronger demand for practical parent support. Latvia reports higher satisfaction with school support, whereas Türkiye shows the strongest demand for additional lessons and digital resources.</w:t>
      </w:r>
    </w:p>
    <w:p w14:paraId="7C72869A">
      <w:pPr>
        <w:pStyle w:val="3"/>
      </w:pPr>
      <w:r>
        <w:t>7.2 Common Parent Priorities</w:t>
      </w:r>
    </w:p>
    <w:p w14:paraId="0CA24215">
      <w:pPr>
        <w:pStyle w:val="24"/>
        <w:spacing w:after="60"/>
        <w:ind w:left="360"/>
      </w:pPr>
      <w:r>
        <w:rPr>
          <w:rFonts w:ascii="Aptos" w:hAnsi="Aptos"/>
          <w:color w:val="233746"/>
          <w:sz w:val="20"/>
        </w:rPr>
        <w:t>English movies/videos are a major home-learning opportunity in all three countries (Latvia 86%, Sweden 80%, Türkiye 74%).</w:t>
      </w:r>
    </w:p>
    <w:p w14:paraId="7FC170BD">
      <w:pPr>
        <w:pStyle w:val="24"/>
        <w:spacing w:after="60"/>
        <w:ind w:left="360"/>
      </w:pPr>
      <w:r>
        <w:rPr>
          <w:rFonts w:ascii="Aptos" w:hAnsi="Aptos"/>
          <w:color w:val="233746"/>
          <w:sz w:val="20"/>
        </w:rPr>
        <w:t>Access to digital devices/internet is high in Sweden (95%) but lower in Latvia (71%) and Türkiye (65%).</w:t>
      </w:r>
    </w:p>
    <w:p w14:paraId="2896461B">
      <w:pPr>
        <w:pStyle w:val="24"/>
        <w:spacing w:after="60"/>
        <w:ind w:left="360"/>
      </w:pPr>
      <w:r>
        <w:rPr>
          <w:rFonts w:ascii="Aptos" w:hAnsi="Aptos"/>
          <w:color w:val="233746"/>
          <w:sz w:val="20"/>
        </w:rPr>
        <w:t>Parents request more speaking opportunities, fun and interactive methods, and stronger teacher-parent communication.</w:t>
      </w:r>
    </w:p>
    <w:p w14:paraId="1DC645BC">
      <w:pPr>
        <w:pStyle w:val="24"/>
        <w:spacing w:after="60"/>
        <w:ind w:left="360"/>
      </w:pPr>
      <w:r>
        <w:rPr>
          <w:rFonts w:ascii="Aptos" w:hAnsi="Aptos"/>
          <w:color w:val="233746"/>
          <w:sz w:val="20"/>
        </w:rPr>
        <w:t>Türkiye shows high demand for additional lessons/after-school activities (74%) and digital resources/interactive games (67%).</w:t>
      </w:r>
    </w:p>
    <w:p w14:paraId="2159811B">
      <w:pPr>
        <w:pStyle w:val="24"/>
        <w:spacing w:after="60"/>
        <w:ind w:left="360"/>
      </w:pPr>
      <w:r>
        <w:rPr>
          <w:rFonts w:ascii="Aptos" w:hAnsi="Aptos"/>
          <w:color w:val="233746"/>
          <w:sz w:val="20"/>
        </w:rPr>
        <w:t>Parent willingness to improve their own English is especially high in Türkiye (89%) and moderate in Latvia (50%).</w:t>
      </w:r>
    </w:p>
    <w:p w14:paraId="4E99AF9C">
      <w:pPr>
        <w:pStyle w:val="24"/>
        <w:spacing w:after="60"/>
        <w:ind w:left="360"/>
      </w:pPr>
      <w:r>
        <w:rPr>
          <w:rFonts w:ascii="Aptos" w:hAnsi="Aptos"/>
          <w:color w:val="233746"/>
          <w:sz w:val="20"/>
        </w:rPr>
        <w:t>Interest in cultural exchange/international projects is high in all three countries: Sweden 90%, Türkiye 81%, Latvia 75%.</w:t>
      </w:r>
    </w:p>
    <w:p w14:paraId="0F367D89">
      <w:pPr>
        <w:spacing w:after="120" w:line="259" w:lineRule="auto"/>
      </w:pPr>
      <w:r>
        <w:rPr>
          <w:rFonts w:ascii="Aptos" w:hAnsi="Aptos"/>
          <w:color w:val="233746"/>
          <w:sz w:val="21"/>
        </w:rPr>
        <w:t>These findings justify a Parent Guide that is practical, low-threshold and usable even when the adult does not speak English fluently. The guide should emphasise short routines, encouragement, videos, games, simple speaking activities, multilingual support and clear links to the SMART-UDL platform.</w:t>
      </w:r>
    </w:p>
    <w:p w14:paraId="27641E37">
      <w:pPr>
        <w:pStyle w:val="2"/>
      </w:pPr>
      <w:r>
        <w:t>8. Cross-Target-Group Synthesis</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3"/>
        <w:gridCol w:w="2556"/>
        <w:gridCol w:w="2538"/>
        <w:gridCol w:w="3089"/>
      </w:tblGrid>
      <w:tr w14:paraId="378C0E66">
        <w:trPr>
          <w:cantSplit/>
          <w:tblHeader/>
          <w:jc w:val="center"/>
        </w:trPr>
        <w:tc>
          <w:tcPr>
            <w:tcW w:w="2160"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23CFEE3C">
            <w:pPr>
              <w:spacing w:before="0" w:after="0" w:line="240" w:lineRule="auto"/>
            </w:pPr>
            <w:r>
              <w:rPr>
                <w:rFonts w:ascii="Aptos" w:hAnsi="Aptos"/>
                <w:b/>
                <w:color w:val="FFFFFF"/>
                <w:sz w:val="16"/>
              </w:rPr>
              <w:t>Cross-cutting need</w:t>
            </w:r>
          </w:p>
        </w:tc>
        <w:tc>
          <w:tcPr>
            <w:tcW w:w="2592"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6767B286">
            <w:pPr>
              <w:spacing w:before="0" w:after="0" w:line="240" w:lineRule="auto"/>
            </w:pPr>
            <w:r>
              <w:rPr>
                <w:rFonts w:ascii="Aptos" w:hAnsi="Aptos"/>
                <w:b/>
                <w:color w:val="FFFFFF"/>
                <w:sz w:val="16"/>
              </w:rPr>
              <w:t>Student evidence</w:t>
            </w:r>
          </w:p>
        </w:tc>
        <w:tc>
          <w:tcPr>
            <w:tcW w:w="2592"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1D048FBD">
            <w:pPr>
              <w:spacing w:before="0" w:after="0" w:line="240" w:lineRule="auto"/>
            </w:pPr>
            <w:r>
              <w:rPr>
                <w:rFonts w:ascii="Aptos" w:hAnsi="Aptos"/>
                <w:b/>
                <w:color w:val="FFFFFF"/>
                <w:sz w:val="16"/>
              </w:rPr>
              <w:t>Teacher/parent evidence</w:t>
            </w:r>
          </w:p>
        </w:tc>
        <w:tc>
          <w:tcPr>
            <w:tcW w:w="3168"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5EBD9B05">
            <w:pPr>
              <w:spacing w:before="0" w:after="0" w:line="240" w:lineRule="auto"/>
            </w:pPr>
            <w:r>
              <w:rPr>
                <w:rFonts w:ascii="Aptos" w:hAnsi="Aptos"/>
                <w:b/>
                <w:color w:val="FFFFFF"/>
                <w:sz w:val="16"/>
              </w:rPr>
              <w:t>UDL response</w:t>
            </w:r>
          </w:p>
        </w:tc>
      </w:tr>
      <w:tr w14:paraId="7B922C4E">
        <w:trPr>
          <w:cantSplit/>
          <w:jc w:val="center"/>
        </w:trPr>
        <w:tc>
          <w:tcPr>
            <w:tcW w:w="2160" w:type="dxa"/>
            <w:tcBorders>
              <w:top w:val="single" w:color="B7C9D3" w:sz="4" w:space="0"/>
              <w:left w:val="single" w:color="B7C9D3" w:sz="4" w:space="0"/>
              <w:bottom w:val="single" w:color="B7C9D3" w:sz="4" w:space="0"/>
              <w:right w:val="single" w:color="B7C9D3" w:sz="4" w:space="0"/>
            </w:tcBorders>
            <w:vAlign w:val="center"/>
          </w:tcPr>
          <w:p w14:paraId="735F2BEB">
            <w:pPr>
              <w:spacing w:before="0" w:after="0" w:line="240" w:lineRule="auto"/>
            </w:pPr>
            <w:r>
              <w:rPr>
                <w:rFonts w:ascii="Aptos" w:hAnsi="Aptos"/>
                <w:b w:val="0"/>
                <w:color w:val="233746"/>
                <w:sz w:val="16"/>
              </w:rPr>
              <w:t>Speaking confidence and anxiety</w:t>
            </w:r>
          </w:p>
        </w:tc>
        <w:tc>
          <w:tcPr>
            <w:tcW w:w="2592" w:type="dxa"/>
            <w:tcBorders>
              <w:top w:val="single" w:color="B7C9D3" w:sz="4" w:space="0"/>
              <w:left w:val="single" w:color="B7C9D3" w:sz="4" w:space="0"/>
              <w:bottom w:val="single" w:color="B7C9D3" w:sz="4" w:space="0"/>
              <w:right w:val="single" w:color="B7C9D3" w:sz="4" w:space="0"/>
            </w:tcBorders>
            <w:vAlign w:val="center"/>
          </w:tcPr>
          <w:p w14:paraId="70F23564">
            <w:pPr>
              <w:spacing w:before="0" w:after="0" w:line="240" w:lineRule="auto"/>
            </w:pPr>
            <w:r>
              <w:rPr>
                <w:rFonts w:ascii="Aptos" w:hAnsi="Aptos"/>
                <w:b w:val="0"/>
                <w:color w:val="233746"/>
                <w:sz w:val="16"/>
              </w:rPr>
              <w:t>High speaking/pronunciation difficulty and group anxiety</w:t>
            </w:r>
          </w:p>
        </w:tc>
        <w:tc>
          <w:tcPr>
            <w:tcW w:w="2592" w:type="dxa"/>
            <w:tcBorders>
              <w:top w:val="single" w:color="B7C9D3" w:sz="4" w:space="0"/>
              <w:left w:val="single" w:color="B7C9D3" w:sz="4" w:space="0"/>
              <w:bottom w:val="single" w:color="B7C9D3" w:sz="4" w:space="0"/>
              <w:right w:val="single" w:color="B7C9D3" w:sz="4" w:space="0"/>
            </w:tcBorders>
            <w:vAlign w:val="center"/>
          </w:tcPr>
          <w:p w14:paraId="5BFB3636">
            <w:pPr>
              <w:spacing w:before="0" w:after="0" w:line="240" w:lineRule="auto"/>
            </w:pPr>
            <w:r>
              <w:rPr>
                <w:rFonts w:ascii="Aptos" w:hAnsi="Aptos"/>
                <w:b w:val="0"/>
                <w:color w:val="233746"/>
                <w:sz w:val="16"/>
              </w:rPr>
              <w:t>Parents identify speaking gaps; teachers use ICT less consistently for productive skills</w:t>
            </w:r>
          </w:p>
        </w:tc>
        <w:tc>
          <w:tcPr>
            <w:tcW w:w="3168" w:type="dxa"/>
            <w:tcBorders>
              <w:top w:val="single" w:color="B7C9D3" w:sz="4" w:space="0"/>
              <w:left w:val="single" w:color="B7C9D3" w:sz="4" w:space="0"/>
              <w:bottom w:val="single" w:color="B7C9D3" w:sz="4" w:space="0"/>
              <w:right w:val="single" w:color="B7C9D3" w:sz="4" w:space="0"/>
            </w:tcBorders>
            <w:vAlign w:val="center"/>
          </w:tcPr>
          <w:p w14:paraId="3D43EAA3">
            <w:pPr>
              <w:spacing w:before="0" w:after="0" w:line="240" w:lineRule="auto"/>
            </w:pPr>
            <w:r>
              <w:rPr>
                <w:rFonts w:ascii="Aptos" w:hAnsi="Aptos"/>
                <w:b w:val="0"/>
                <w:color w:val="233746"/>
                <w:sz w:val="16"/>
              </w:rPr>
              <w:t>Low-stakes oral practice; choice of response mode; recordings, pair work and gradual scaffolding.</w:t>
            </w:r>
          </w:p>
        </w:tc>
      </w:tr>
      <w:tr w14:paraId="35B02F90">
        <w:trPr>
          <w:cantSplit/>
          <w:jc w:val="center"/>
        </w:trPr>
        <w:tc>
          <w:tcPr>
            <w:tcW w:w="2160" w:type="dxa"/>
            <w:tcBorders>
              <w:top w:val="single" w:color="B7C9D3" w:sz="4" w:space="0"/>
              <w:left w:val="single" w:color="B7C9D3" w:sz="4" w:space="0"/>
              <w:bottom w:val="single" w:color="B7C9D3" w:sz="4" w:space="0"/>
              <w:right w:val="single" w:color="B7C9D3" w:sz="4" w:space="0"/>
            </w:tcBorders>
            <w:vAlign w:val="center"/>
          </w:tcPr>
          <w:p w14:paraId="38A87BA5">
            <w:pPr>
              <w:spacing w:before="0" w:after="0" w:line="240" w:lineRule="auto"/>
            </w:pPr>
            <w:r>
              <w:rPr>
                <w:rFonts w:ascii="Aptos" w:hAnsi="Aptos"/>
                <w:b w:val="0"/>
                <w:color w:val="233746"/>
                <w:sz w:val="16"/>
              </w:rPr>
              <w:t>Engagement</w:t>
            </w:r>
          </w:p>
        </w:tc>
        <w:tc>
          <w:tcPr>
            <w:tcW w:w="2592" w:type="dxa"/>
            <w:tcBorders>
              <w:top w:val="single" w:color="B7C9D3" w:sz="4" w:space="0"/>
              <w:left w:val="single" w:color="B7C9D3" w:sz="4" w:space="0"/>
              <w:bottom w:val="single" w:color="B7C9D3" w:sz="4" w:space="0"/>
              <w:right w:val="single" w:color="B7C9D3" w:sz="4" w:space="0"/>
            </w:tcBorders>
            <w:vAlign w:val="center"/>
          </w:tcPr>
          <w:p w14:paraId="23A58336">
            <w:pPr>
              <w:spacing w:before="0" w:after="0" w:line="240" w:lineRule="auto"/>
            </w:pPr>
            <w:r>
              <w:rPr>
                <w:rFonts w:ascii="Aptos" w:hAnsi="Aptos"/>
                <w:b w:val="0"/>
                <w:color w:val="233746"/>
                <w:sz w:val="16"/>
              </w:rPr>
              <w:t>Students want games, videos and interactive learning</w:t>
            </w:r>
          </w:p>
        </w:tc>
        <w:tc>
          <w:tcPr>
            <w:tcW w:w="2592" w:type="dxa"/>
            <w:tcBorders>
              <w:top w:val="single" w:color="B7C9D3" w:sz="4" w:space="0"/>
              <w:left w:val="single" w:color="B7C9D3" w:sz="4" w:space="0"/>
              <w:bottom w:val="single" w:color="B7C9D3" w:sz="4" w:space="0"/>
              <w:right w:val="single" w:color="B7C9D3" w:sz="4" w:space="0"/>
            </w:tcBorders>
            <w:vAlign w:val="center"/>
          </w:tcPr>
          <w:p w14:paraId="698A21F3">
            <w:pPr>
              <w:spacing w:before="0" w:after="0" w:line="240" w:lineRule="auto"/>
            </w:pPr>
            <w:r>
              <w:rPr>
                <w:rFonts w:ascii="Aptos" w:hAnsi="Aptos"/>
                <w:b w:val="0"/>
                <w:color w:val="233746"/>
                <w:sz w:val="16"/>
              </w:rPr>
              <w:t>Parents favour entertainment-based learning; teachers use gamification but not consistently</w:t>
            </w:r>
          </w:p>
        </w:tc>
        <w:tc>
          <w:tcPr>
            <w:tcW w:w="3168" w:type="dxa"/>
            <w:tcBorders>
              <w:top w:val="single" w:color="B7C9D3" w:sz="4" w:space="0"/>
              <w:left w:val="single" w:color="B7C9D3" w:sz="4" w:space="0"/>
              <w:bottom w:val="single" w:color="B7C9D3" w:sz="4" w:space="0"/>
              <w:right w:val="single" w:color="B7C9D3" w:sz="4" w:space="0"/>
            </w:tcBorders>
            <w:vAlign w:val="center"/>
          </w:tcPr>
          <w:p w14:paraId="3E99B4B9">
            <w:pPr>
              <w:spacing w:before="0" w:after="0" w:line="240" w:lineRule="auto"/>
            </w:pPr>
            <w:r>
              <w:rPr>
                <w:rFonts w:ascii="Aptos" w:hAnsi="Aptos"/>
                <w:b w:val="0"/>
                <w:color w:val="233746"/>
                <w:sz w:val="16"/>
              </w:rPr>
              <w:t>Multiple means of engagement; choice, relevance, gamification and cultural exchange.</w:t>
            </w:r>
          </w:p>
        </w:tc>
      </w:tr>
      <w:tr w14:paraId="0C60F699">
        <w:trPr>
          <w:cantSplit/>
          <w:jc w:val="center"/>
        </w:trPr>
        <w:tc>
          <w:tcPr>
            <w:tcW w:w="2160" w:type="dxa"/>
            <w:tcBorders>
              <w:top w:val="single" w:color="B7C9D3" w:sz="4" w:space="0"/>
              <w:left w:val="single" w:color="B7C9D3" w:sz="4" w:space="0"/>
              <w:bottom w:val="single" w:color="B7C9D3" w:sz="4" w:space="0"/>
              <w:right w:val="single" w:color="B7C9D3" w:sz="4" w:space="0"/>
            </w:tcBorders>
            <w:vAlign w:val="center"/>
          </w:tcPr>
          <w:p w14:paraId="083F363B">
            <w:pPr>
              <w:spacing w:before="0" w:after="0" w:line="240" w:lineRule="auto"/>
            </w:pPr>
            <w:r>
              <w:rPr>
                <w:rFonts w:ascii="Aptos" w:hAnsi="Aptos"/>
                <w:b w:val="0"/>
                <w:color w:val="233746"/>
                <w:sz w:val="16"/>
              </w:rPr>
              <w:t>Multimodal access</w:t>
            </w:r>
          </w:p>
        </w:tc>
        <w:tc>
          <w:tcPr>
            <w:tcW w:w="2592" w:type="dxa"/>
            <w:tcBorders>
              <w:top w:val="single" w:color="B7C9D3" w:sz="4" w:space="0"/>
              <w:left w:val="single" w:color="B7C9D3" w:sz="4" w:space="0"/>
              <w:bottom w:val="single" w:color="B7C9D3" w:sz="4" w:space="0"/>
              <w:right w:val="single" w:color="B7C9D3" w:sz="4" w:space="0"/>
            </w:tcBorders>
            <w:vAlign w:val="center"/>
          </w:tcPr>
          <w:p w14:paraId="00DD895C">
            <w:pPr>
              <w:spacing w:before="0" w:after="0" w:line="240" w:lineRule="auto"/>
            </w:pPr>
            <w:r>
              <w:rPr>
                <w:rFonts w:ascii="Aptos" w:hAnsi="Aptos"/>
                <w:b w:val="0"/>
                <w:color w:val="233746"/>
                <w:sz w:val="16"/>
              </w:rPr>
              <w:t>Listening/vocabulary barriers and varied learning conditions</w:t>
            </w:r>
          </w:p>
        </w:tc>
        <w:tc>
          <w:tcPr>
            <w:tcW w:w="2592" w:type="dxa"/>
            <w:tcBorders>
              <w:top w:val="single" w:color="B7C9D3" w:sz="4" w:space="0"/>
              <w:left w:val="single" w:color="B7C9D3" w:sz="4" w:space="0"/>
              <w:bottom w:val="single" w:color="B7C9D3" w:sz="4" w:space="0"/>
              <w:right w:val="single" w:color="B7C9D3" w:sz="4" w:space="0"/>
            </w:tcBorders>
            <w:vAlign w:val="center"/>
          </w:tcPr>
          <w:p w14:paraId="506D4585">
            <w:pPr>
              <w:spacing w:before="0" w:after="0" w:line="240" w:lineRule="auto"/>
            </w:pPr>
            <w:r>
              <w:rPr>
                <w:rFonts w:ascii="Aptos" w:hAnsi="Aptos"/>
                <w:b w:val="0"/>
                <w:color w:val="233746"/>
                <w:sz w:val="16"/>
              </w:rPr>
              <w:t>Teacher use of multimedia exists but UDL knowledge is limited</w:t>
            </w:r>
          </w:p>
        </w:tc>
        <w:tc>
          <w:tcPr>
            <w:tcW w:w="3168" w:type="dxa"/>
            <w:tcBorders>
              <w:top w:val="single" w:color="B7C9D3" w:sz="4" w:space="0"/>
              <w:left w:val="single" w:color="B7C9D3" w:sz="4" w:space="0"/>
              <w:bottom w:val="single" w:color="B7C9D3" w:sz="4" w:space="0"/>
              <w:right w:val="single" w:color="B7C9D3" w:sz="4" w:space="0"/>
            </w:tcBorders>
            <w:vAlign w:val="center"/>
          </w:tcPr>
          <w:p w14:paraId="12BD1160">
            <w:pPr>
              <w:spacing w:before="0" w:after="0" w:line="240" w:lineRule="auto"/>
            </w:pPr>
            <w:r>
              <w:rPr>
                <w:rFonts w:ascii="Aptos" w:hAnsi="Aptos"/>
                <w:b w:val="0"/>
                <w:color w:val="233746"/>
                <w:sz w:val="16"/>
              </w:rPr>
              <w:t>Multiple means of representation: audio, visual, text, subtitles, pictograms and repeatable content.</w:t>
            </w:r>
          </w:p>
        </w:tc>
      </w:tr>
      <w:tr w14:paraId="027B174B">
        <w:trPr>
          <w:cantSplit/>
          <w:jc w:val="center"/>
        </w:trPr>
        <w:tc>
          <w:tcPr>
            <w:tcW w:w="2160" w:type="dxa"/>
            <w:tcBorders>
              <w:top w:val="single" w:color="B7C9D3" w:sz="4" w:space="0"/>
              <w:left w:val="single" w:color="B7C9D3" w:sz="4" w:space="0"/>
              <w:bottom w:val="single" w:color="B7C9D3" w:sz="4" w:space="0"/>
              <w:right w:val="single" w:color="B7C9D3" w:sz="4" w:space="0"/>
            </w:tcBorders>
            <w:vAlign w:val="center"/>
          </w:tcPr>
          <w:p w14:paraId="19C6DDB8">
            <w:pPr>
              <w:spacing w:before="0" w:after="0" w:line="240" w:lineRule="auto"/>
            </w:pPr>
            <w:r>
              <w:rPr>
                <w:rFonts w:ascii="Aptos" w:hAnsi="Aptos"/>
                <w:b w:val="0"/>
                <w:color w:val="233746"/>
                <w:sz w:val="16"/>
              </w:rPr>
              <w:t>Digital access and equity</w:t>
            </w:r>
          </w:p>
        </w:tc>
        <w:tc>
          <w:tcPr>
            <w:tcW w:w="2592" w:type="dxa"/>
            <w:tcBorders>
              <w:top w:val="single" w:color="B7C9D3" w:sz="4" w:space="0"/>
              <w:left w:val="single" w:color="B7C9D3" w:sz="4" w:space="0"/>
              <w:bottom w:val="single" w:color="B7C9D3" w:sz="4" w:space="0"/>
              <w:right w:val="single" w:color="B7C9D3" w:sz="4" w:space="0"/>
            </w:tcBorders>
            <w:vAlign w:val="center"/>
          </w:tcPr>
          <w:p w14:paraId="3A82D496">
            <w:pPr>
              <w:spacing w:before="0" w:after="0" w:line="240" w:lineRule="auto"/>
            </w:pPr>
            <w:r>
              <w:rPr>
                <w:rFonts w:ascii="Aptos" w:hAnsi="Aptos"/>
                <w:b w:val="0"/>
                <w:color w:val="233746"/>
                <w:sz w:val="16"/>
              </w:rPr>
              <w:t>Technology and cost barriers are substantial</w:t>
            </w:r>
          </w:p>
        </w:tc>
        <w:tc>
          <w:tcPr>
            <w:tcW w:w="2592" w:type="dxa"/>
            <w:tcBorders>
              <w:top w:val="single" w:color="B7C9D3" w:sz="4" w:space="0"/>
              <w:left w:val="single" w:color="B7C9D3" w:sz="4" w:space="0"/>
              <w:bottom w:val="single" w:color="B7C9D3" w:sz="4" w:space="0"/>
              <w:right w:val="single" w:color="B7C9D3" w:sz="4" w:space="0"/>
            </w:tcBorders>
            <w:vAlign w:val="center"/>
          </w:tcPr>
          <w:p w14:paraId="0B44AA6D">
            <w:pPr>
              <w:spacing w:before="0" w:after="0" w:line="240" w:lineRule="auto"/>
            </w:pPr>
            <w:r>
              <w:rPr>
                <w:rFonts w:ascii="Aptos" w:hAnsi="Aptos"/>
                <w:b w:val="0"/>
                <w:color w:val="233746"/>
                <w:sz w:val="16"/>
              </w:rPr>
              <w:t>Home device access varies by country; teachers report uneven ICT integration</w:t>
            </w:r>
          </w:p>
        </w:tc>
        <w:tc>
          <w:tcPr>
            <w:tcW w:w="3168" w:type="dxa"/>
            <w:tcBorders>
              <w:top w:val="single" w:color="B7C9D3" w:sz="4" w:space="0"/>
              <w:left w:val="single" w:color="B7C9D3" w:sz="4" w:space="0"/>
              <w:bottom w:val="single" w:color="B7C9D3" w:sz="4" w:space="0"/>
              <w:right w:val="single" w:color="B7C9D3" w:sz="4" w:space="0"/>
            </w:tcBorders>
            <w:vAlign w:val="center"/>
          </w:tcPr>
          <w:p w14:paraId="64CB55A0">
            <w:pPr>
              <w:spacing w:before="0" w:after="0" w:line="240" w:lineRule="auto"/>
            </w:pPr>
            <w:r>
              <w:rPr>
                <w:rFonts w:ascii="Aptos" w:hAnsi="Aptos"/>
                <w:b w:val="0"/>
                <w:color w:val="233746"/>
                <w:sz w:val="16"/>
              </w:rPr>
              <w:t>Free/open resources; low-bandwidth and mobile-friendly options; downloadable alternatives.</w:t>
            </w:r>
          </w:p>
        </w:tc>
      </w:tr>
      <w:tr w14:paraId="488CBD8E">
        <w:trPr>
          <w:cantSplit/>
          <w:jc w:val="center"/>
        </w:trPr>
        <w:tc>
          <w:tcPr>
            <w:tcW w:w="2160" w:type="dxa"/>
            <w:tcBorders>
              <w:top w:val="single" w:color="B7C9D3" w:sz="4" w:space="0"/>
              <w:left w:val="single" w:color="B7C9D3" w:sz="4" w:space="0"/>
              <w:bottom w:val="single" w:color="B7C9D3" w:sz="4" w:space="0"/>
              <w:right w:val="single" w:color="B7C9D3" w:sz="4" w:space="0"/>
            </w:tcBorders>
            <w:vAlign w:val="center"/>
          </w:tcPr>
          <w:p w14:paraId="47B4D3EC">
            <w:pPr>
              <w:spacing w:before="0" w:after="0" w:line="240" w:lineRule="auto"/>
            </w:pPr>
            <w:r>
              <w:rPr>
                <w:rFonts w:ascii="Aptos" w:hAnsi="Aptos"/>
                <w:b w:val="0"/>
                <w:color w:val="233746"/>
                <w:sz w:val="16"/>
              </w:rPr>
              <w:t>Teacher capacity</w:t>
            </w:r>
          </w:p>
        </w:tc>
        <w:tc>
          <w:tcPr>
            <w:tcW w:w="2592" w:type="dxa"/>
            <w:tcBorders>
              <w:top w:val="single" w:color="B7C9D3" w:sz="4" w:space="0"/>
              <w:left w:val="single" w:color="B7C9D3" w:sz="4" w:space="0"/>
              <w:bottom w:val="single" w:color="B7C9D3" w:sz="4" w:space="0"/>
              <w:right w:val="single" w:color="B7C9D3" w:sz="4" w:space="0"/>
            </w:tcBorders>
            <w:vAlign w:val="center"/>
          </w:tcPr>
          <w:p w14:paraId="3F40F4F7">
            <w:pPr>
              <w:spacing w:before="0" w:after="0" w:line="240" w:lineRule="auto"/>
            </w:pPr>
            <w:r>
              <w:rPr>
                <w:rFonts w:ascii="Aptos" w:hAnsi="Aptos"/>
                <w:b w:val="0"/>
                <w:color w:val="233746"/>
                <w:sz w:val="16"/>
              </w:rPr>
              <w:t>Students benefit strongly from teacher support</w:t>
            </w:r>
          </w:p>
        </w:tc>
        <w:tc>
          <w:tcPr>
            <w:tcW w:w="2592" w:type="dxa"/>
            <w:tcBorders>
              <w:top w:val="single" w:color="B7C9D3" w:sz="4" w:space="0"/>
              <w:left w:val="single" w:color="B7C9D3" w:sz="4" w:space="0"/>
              <w:bottom w:val="single" w:color="B7C9D3" w:sz="4" w:space="0"/>
              <w:right w:val="single" w:color="B7C9D3" w:sz="4" w:space="0"/>
            </w:tcBorders>
            <w:vAlign w:val="center"/>
          </w:tcPr>
          <w:p w14:paraId="0AD3CBDE">
            <w:pPr>
              <w:spacing w:before="0" w:after="0" w:line="240" w:lineRule="auto"/>
            </w:pPr>
            <w:r>
              <w:rPr>
                <w:rFonts w:ascii="Aptos" w:hAnsi="Aptos"/>
                <w:b w:val="0"/>
                <w:color w:val="233746"/>
                <w:sz w:val="16"/>
              </w:rPr>
              <w:t>UDL use/knowledge is low and inclusion support staff are limited</w:t>
            </w:r>
          </w:p>
        </w:tc>
        <w:tc>
          <w:tcPr>
            <w:tcW w:w="3168" w:type="dxa"/>
            <w:tcBorders>
              <w:top w:val="single" w:color="B7C9D3" w:sz="4" w:space="0"/>
              <w:left w:val="single" w:color="B7C9D3" w:sz="4" w:space="0"/>
              <w:bottom w:val="single" w:color="B7C9D3" w:sz="4" w:space="0"/>
              <w:right w:val="single" w:color="B7C9D3" w:sz="4" w:space="0"/>
            </w:tcBorders>
            <w:vAlign w:val="center"/>
          </w:tcPr>
          <w:p w14:paraId="6F49CB17">
            <w:pPr>
              <w:spacing w:before="0" w:after="0" w:line="240" w:lineRule="auto"/>
            </w:pPr>
            <w:r>
              <w:rPr>
                <w:rFonts w:ascii="Aptos" w:hAnsi="Aptos"/>
                <w:b w:val="0"/>
                <w:color w:val="233746"/>
                <w:sz w:val="16"/>
              </w:rPr>
              <w:t>Teacher Guide, training, practical checklists and reusable model lessons.</w:t>
            </w:r>
          </w:p>
        </w:tc>
      </w:tr>
      <w:tr w14:paraId="13B8E3E4">
        <w:trPr>
          <w:cantSplit/>
          <w:jc w:val="center"/>
        </w:trPr>
        <w:tc>
          <w:tcPr>
            <w:tcW w:w="2160" w:type="dxa"/>
            <w:tcBorders>
              <w:top w:val="single" w:color="B7C9D3" w:sz="4" w:space="0"/>
              <w:left w:val="single" w:color="B7C9D3" w:sz="4" w:space="0"/>
              <w:bottom w:val="single" w:color="B7C9D3" w:sz="4" w:space="0"/>
              <w:right w:val="single" w:color="B7C9D3" w:sz="4" w:space="0"/>
            </w:tcBorders>
            <w:vAlign w:val="center"/>
          </w:tcPr>
          <w:p w14:paraId="4226DED2">
            <w:pPr>
              <w:spacing w:before="0" w:after="0" w:line="240" w:lineRule="auto"/>
            </w:pPr>
            <w:r>
              <w:rPr>
                <w:rFonts w:ascii="Aptos" w:hAnsi="Aptos"/>
                <w:b w:val="0"/>
                <w:color w:val="233746"/>
                <w:sz w:val="16"/>
              </w:rPr>
              <w:t>Family support</w:t>
            </w:r>
          </w:p>
        </w:tc>
        <w:tc>
          <w:tcPr>
            <w:tcW w:w="2592" w:type="dxa"/>
            <w:tcBorders>
              <w:top w:val="single" w:color="B7C9D3" w:sz="4" w:space="0"/>
              <w:left w:val="single" w:color="B7C9D3" w:sz="4" w:space="0"/>
              <w:bottom w:val="single" w:color="B7C9D3" w:sz="4" w:space="0"/>
              <w:right w:val="single" w:color="B7C9D3" w:sz="4" w:space="0"/>
            </w:tcBorders>
            <w:vAlign w:val="center"/>
          </w:tcPr>
          <w:p w14:paraId="4FF8B882">
            <w:pPr>
              <w:spacing w:before="0" w:after="0" w:line="240" w:lineRule="auto"/>
            </w:pPr>
            <w:r>
              <w:rPr>
                <w:rFonts w:ascii="Aptos" w:hAnsi="Aptos"/>
                <w:b w:val="0"/>
                <w:color w:val="233746"/>
                <w:sz w:val="16"/>
              </w:rPr>
              <w:t>Home learning conditions vary widely</w:t>
            </w:r>
          </w:p>
        </w:tc>
        <w:tc>
          <w:tcPr>
            <w:tcW w:w="2592" w:type="dxa"/>
            <w:tcBorders>
              <w:top w:val="single" w:color="B7C9D3" w:sz="4" w:space="0"/>
              <w:left w:val="single" w:color="B7C9D3" w:sz="4" w:space="0"/>
              <w:bottom w:val="single" w:color="B7C9D3" w:sz="4" w:space="0"/>
              <w:right w:val="single" w:color="B7C9D3" w:sz="4" w:space="0"/>
            </w:tcBorders>
            <w:vAlign w:val="center"/>
          </w:tcPr>
          <w:p w14:paraId="13C060B6">
            <w:pPr>
              <w:spacing w:before="0" w:after="0" w:line="240" w:lineRule="auto"/>
            </w:pPr>
            <w:r>
              <w:rPr>
                <w:rFonts w:ascii="Aptos" w:hAnsi="Aptos"/>
                <w:b w:val="0"/>
                <w:color w:val="233746"/>
                <w:sz w:val="16"/>
              </w:rPr>
              <w:t>Parent confidence is low in Türkiye/Latvia; families request tools and workshops</w:t>
            </w:r>
          </w:p>
        </w:tc>
        <w:tc>
          <w:tcPr>
            <w:tcW w:w="3168" w:type="dxa"/>
            <w:tcBorders>
              <w:top w:val="single" w:color="B7C9D3" w:sz="4" w:space="0"/>
              <w:left w:val="single" w:color="B7C9D3" w:sz="4" w:space="0"/>
              <w:bottom w:val="single" w:color="B7C9D3" w:sz="4" w:space="0"/>
              <w:right w:val="single" w:color="B7C9D3" w:sz="4" w:space="0"/>
            </w:tcBorders>
            <w:vAlign w:val="center"/>
          </w:tcPr>
          <w:p w14:paraId="347976B6">
            <w:pPr>
              <w:spacing w:before="0" w:after="0" w:line="240" w:lineRule="auto"/>
            </w:pPr>
            <w:r>
              <w:rPr>
                <w:rFonts w:ascii="Aptos" w:hAnsi="Aptos"/>
                <w:b w:val="0"/>
                <w:color w:val="233746"/>
                <w:sz w:val="16"/>
              </w:rPr>
              <w:t>Simple Parent Guide, 10-minute routines, multilingual support and school-home communication.</w:t>
            </w:r>
          </w:p>
        </w:tc>
      </w:tr>
      <w:tr w14:paraId="3ED94887">
        <w:trPr>
          <w:cantSplit/>
          <w:jc w:val="center"/>
        </w:trPr>
        <w:tc>
          <w:tcPr>
            <w:tcW w:w="2160" w:type="dxa"/>
            <w:tcBorders>
              <w:top w:val="single" w:color="B7C9D3" w:sz="4" w:space="0"/>
              <w:left w:val="single" w:color="B7C9D3" w:sz="4" w:space="0"/>
              <w:bottom w:val="single" w:color="B7C9D3" w:sz="4" w:space="0"/>
              <w:right w:val="single" w:color="B7C9D3" w:sz="4" w:space="0"/>
            </w:tcBorders>
            <w:vAlign w:val="center"/>
          </w:tcPr>
          <w:p w14:paraId="5BB216CA">
            <w:pPr>
              <w:spacing w:before="0" w:after="0" w:line="240" w:lineRule="auto"/>
            </w:pPr>
            <w:r>
              <w:rPr>
                <w:rFonts w:ascii="Aptos" w:hAnsi="Aptos"/>
                <w:b w:val="0"/>
                <w:color w:val="233746"/>
                <w:sz w:val="16"/>
              </w:rPr>
              <w:t>Flexibility and inclusion</w:t>
            </w:r>
          </w:p>
        </w:tc>
        <w:tc>
          <w:tcPr>
            <w:tcW w:w="2592" w:type="dxa"/>
            <w:tcBorders>
              <w:top w:val="single" w:color="B7C9D3" w:sz="4" w:space="0"/>
              <w:left w:val="single" w:color="B7C9D3" w:sz="4" w:space="0"/>
              <w:bottom w:val="single" w:color="B7C9D3" w:sz="4" w:space="0"/>
              <w:right w:val="single" w:color="B7C9D3" w:sz="4" w:space="0"/>
            </w:tcBorders>
            <w:vAlign w:val="center"/>
          </w:tcPr>
          <w:p w14:paraId="6562E9A8">
            <w:pPr>
              <w:spacing w:before="0" w:after="0" w:line="240" w:lineRule="auto"/>
            </w:pPr>
            <w:r>
              <w:rPr>
                <w:rFonts w:ascii="Aptos" w:hAnsi="Aptos"/>
                <w:b w:val="0"/>
                <w:color w:val="233746"/>
                <w:sz w:val="16"/>
              </w:rPr>
              <w:t>Students differ in level, confidence and environment</w:t>
            </w:r>
          </w:p>
        </w:tc>
        <w:tc>
          <w:tcPr>
            <w:tcW w:w="2592" w:type="dxa"/>
            <w:tcBorders>
              <w:top w:val="single" w:color="B7C9D3" w:sz="4" w:space="0"/>
              <w:left w:val="single" w:color="B7C9D3" w:sz="4" w:space="0"/>
              <w:bottom w:val="single" w:color="B7C9D3" w:sz="4" w:space="0"/>
              <w:right w:val="single" w:color="B7C9D3" w:sz="4" w:space="0"/>
            </w:tcBorders>
            <w:vAlign w:val="center"/>
          </w:tcPr>
          <w:p w14:paraId="1DF9F466">
            <w:pPr>
              <w:spacing w:before="0" w:after="0" w:line="240" w:lineRule="auto"/>
            </w:pPr>
            <w:r>
              <w:rPr>
                <w:rFonts w:ascii="Aptos" w:hAnsi="Aptos"/>
                <w:b w:val="0"/>
                <w:color w:val="233746"/>
                <w:sz w:val="16"/>
              </w:rPr>
              <w:t>Teachers use adaptations but systematic UDL is uncommon</w:t>
            </w:r>
          </w:p>
        </w:tc>
        <w:tc>
          <w:tcPr>
            <w:tcW w:w="3168" w:type="dxa"/>
            <w:tcBorders>
              <w:top w:val="single" w:color="B7C9D3" w:sz="4" w:space="0"/>
              <w:left w:val="single" w:color="B7C9D3" w:sz="4" w:space="0"/>
              <w:bottom w:val="single" w:color="B7C9D3" w:sz="4" w:space="0"/>
              <w:right w:val="single" w:color="B7C9D3" w:sz="4" w:space="0"/>
            </w:tcBorders>
            <w:vAlign w:val="center"/>
          </w:tcPr>
          <w:p w14:paraId="6B47D5FF">
            <w:pPr>
              <w:spacing w:before="0" w:after="0" w:line="240" w:lineRule="auto"/>
            </w:pPr>
            <w:r>
              <w:rPr>
                <w:rFonts w:ascii="Aptos" w:hAnsi="Aptos"/>
                <w:b w:val="0"/>
                <w:color w:val="233746"/>
                <w:sz w:val="16"/>
              </w:rPr>
              <w:t>Flexible pacing, accessible design and multiple ways to demonstrate learning.</w:t>
            </w:r>
          </w:p>
        </w:tc>
      </w:tr>
    </w:tbl>
    <w:p w14:paraId="6D33029D">
      <w:pPr>
        <w:pStyle w:val="2"/>
      </w:pPr>
      <w:r>
        <w:t>9. Implications for WP3 and Project Outputs</w:t>
      </w:r>
    </w:p>
    <w:p w14:paraId="708FCE07">
      <w:pPr>
        <w:spacing w:after="120" w:line="259" w:lineRule="auto"/>
      </w:pPr>
      <w:r>
        <w:rPr>
          <w:rFonts w:ascii="Aptos" w:hAnsi="Aptos"/>
          <w:color w:val="233746"/>
          <w:sz w:val="21"/>
        </w:rPr>
        <w:t>The needs analysis is not an isolated research activity. Its purpose is to guide the design, review and pilot implementation of the next project outputs. The following requirements should therefore be treated as evidence-based design priorities for WP3.</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2"/>
        <w:gridCol w:w="4320"/>
        <w:gridCol w:w="3024"/>
      </w:tblGrid>
      <w:tr w14:paraId="5EEC83BF">
        <w:trPr>
          <w:cantSplit/>
          <w:tblHeader/>
          <w:jc w:val="center"/>
        </w:trPr>
        <w:tc>
          <w:tcPr>
            <w:tcW w:w="2592"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35513A73">
            <w:pPr>
              <w:spacing w:before="0" w:after="0" w:line="240" w:lineRule="auto"/>
            </w:pPr>
            <w:r>
              <w:rPr>
                <w:rFonts w:ascii="Aptos" w:hAnsi="Aptos"/>
                <w:b/>
                <w:color w:val="FFFFFF"/>
                <w:sz w:val="17"/>
              </w:rPr>
              <w:t>Evidence-based need</w:t>
            </w:r>
          </w:p>
        </w:tc>
        <w:tc>
          <w:tcPr>
            <w:tcW w:w="4320"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53FDD0BE">
            <w:pPr>
              <w:spacing w:before="0" w:after="0" w:line="240" w:lineRule="auto"/>
            </w:pPr>
            <w:r>
              <w:rPr>
                <w:rFonts w:ascii="Aptos" w:hAnsi="Aptos"/>
                <w:b/>
                <w:color w:val="FFFFFF"/>
                <w:sz w:val="17"/>
              </w:rPr>
              <w:t>Required project response</w:t>
            </w:r>
          </w:p>
        </w:tc>
        <w:tc>
          <w:tcPr>
            <w:tcW w:w="3024" w:type="dxa"/>
            <w:tcBorders>
              <w:top w:val="single" w:color="B7C9D3" w:sz="4" w:space="0"/>
              <w:left w:val="single" w:color="B7C9D3" w:sz="4" w:space="0"/>
              <w:bottom w:val="single" w:color="B7C9D3" w:sz="4" w:space="0"/>
              <w:right w:val="single" w:color="B7C9D3" w:sz="4" w:space="0"/>
            </w:tcBorders>
            <w:shd w:val="clear" w:color="auto" w:fill="1F4E78"/>
            <w:vAlign w:val="center"/>
          </w:tcPr>
          <w:p w14:paraId="3E38C6BB">
            <w:pPr>
              <w:spacing w:before="0" w:after="0" w:line="240" w:lineRule="auto"/>
            </w:pPr>
            <w:r>
              <w:rPr>
                <w:rFonts w:ascii="Aptos" w:hAnsi="Aptos"/>
                <w:b/>
                <w:color w:val="FFFFFF"/>
                <w:sz w:val="17"/>
              </w:rPr>
              <w:t>Where it should appear</w:t>
            </w:r>
          </w:p>
        </w:tc>
      </w:tr>
      <w:tr w14:paraId="6618F944">
        <w:trPr>
          <w:cantSplit/>
          <w:jc w:val="center"/>
        </w:trPr>
        <w:tc>
          <w:tcPr>
            <w:tcW w:w="2592" w:type="dxa"/>
            <w:tcBorders>
              <w:top w:val="single" w:color="B7C9D3" w:sz="4" w:space="0"/>
              <w:left w:val="single" w:color="B7C9D3" w:sz="4" w:space="0"/>
              <w:bottom w:val="single" w:color="B7C9D3" w:sz="4" w:space="0"/>
              <w:right w:val="single" w:color="B7C9D3" w:sz="4" w:space="0"/>
            </w:tcBorders>
            <w:vAlign w:val="center"/>
          </w:tcPr>
          <w:p w14:paraId="69590B31">
            <w:pPr>
              <w:spacing w:before="0" w:after="0" w:line="240" w:lineRule="auto"/>
            </w:pPr>
            <w:r>
              <w:rPr>
                <w:rFonts w:ascii="Aptos" w:hAnsi="Aptos"/>
                <w:b w:val="0"/>
                <w:color w:val="233746"/>
                <w:sz w:val="17"/>
              </w:rPr>
              <w:t>Speaking anxiety / pronunciation</w:t>
            </w:r>
          </w:p>
        </w:tc>
        <w:tc>
          <w:tcPr>
            <w:tcW w:w="4320" w:type="dxa"/>
            <w:tcBorders>
              <w:top w:val="single" w:color="B7C9D3" w:sz="4" w:space="0"/>
              <w:left w:val="single" w:color="B7C9D3" w:sz="4" w:space="0"/>
              <w:bottom w:val="single" w:color="B7C9D3" w:sz="4" w:space="0"/>
              <w:right w:val="single" w:color="B7C9D3" w:sz="4" w:space="0"/>
            </w:tcBorders>
            <w:vAlign w:val="center"/>
          </w:tcPr>
          <w:p w14:paraId="1A136FDB">
            <w:pPr>
              <w:spacing w:before="0" w:after="0" w:line="240" w:lineRule="auto"/>
            </w:pPr>
            <w:r>
              <w:rPr>
                <w:rFonts w:ascii="Aptos" w:hAnsi="Aptos"/>
                <w:b w:val="0"/>
                <w:color w:val="233746"/>
                <w:sz w:val="17"/>
              </w:rPr>
              <w:t>Short, repeatable, low-pressure speaking tasks; voice recording; pair/group practice; supportive feedback</w:t>
            </w:r>
          </w:p>
        </w:tc>
        <w:tc>
          <w:tcPr>
            <w:tcW w:w="3024" w:type="dxa"/>
            <w:tcBorders>
              <w:top w:val="single" w:color="B7C9D3" w:sz="4" w:space="0"/>
              <w:left w:val="single" w:color="B7C9D3" w:sz="4" w:space="0"/>
              <w:bottom w:val="single" w:color="B7C9D3" w:sz="4" w:space="0"/>
              <w:right w:val="single" w:color="B7C9D3" w:sz="4" w:space="0"/>
            </w:tcBorders>
            <w:vAlign w:val="center"/>
          </w:tcPr>
          <w:p w14:paraId="4B700C5E">
            <w:pPr>
              <w:spacing w:before="0" w:after="0" w:line="240" w:lineRule="auto"/>
            </w:pPr>
            <w:r>
              <w:rPr>
                <w:rFonts w:ascii="Aptos" w:hAnsi="Aptos"/>
                <w:b w:val="0"/>
                <w:color w:val="233746"/>
                <w:sz w:val="17"/>
              </w:rPr>
              <w:t>Lesson contents, ILP, pilot activities</w:t>
            </w:r>
          </w:p>
        </w:tc>
      </w:tr>
      <w:tr w14:paraId="6D2989C3">
        <w:trPr>
          <w:cantSplit/>
          <w:jc w:val="center"/>
        </w:trPr>
        <w:tc>
          <w:tcPr>
            <w:tcW w:w="2592" w:type="dxa"/>
            <w:tcBorders>
              <w:top w:val="single" w:color="B7C9D3" w:sz="4" w:space="0"/>
              <w:left w:val="single" w:color="B7C9D3" w:sz="4" w:space="0"/>
              <w:bottom w:val="single" w:color="B7C9D3" w:sz="4" w:space="0"/>
              <w:right w:val="single" w:color="B7C9D3" w:sz="4" w:space="0"/>
            </w:tcBorders>
            <w:vAlign w:val="center"/>
          </w:tcPr>
          <w:p w14:paraId="6AD01BB2">
            <w:pPr>
              <w:spacing w:before="0" w:after="0" w:line="240" w:lineRule="auto"/>
            </w:pPr>
            <w:r>
              <w:rPr>
                <w:rFonts w:ascii="Aptos" w:hAnsi="Aptos"/>
                <w:b w:val="0"/>
                <w:color w:val="233746"/>
                <w:sz w:val="17"/>
              </w:rPr>
              <w:t>Vocabulary and listening barriers</w:t>
            </w:r>
          </w:p>
        </w:tc>
        <w:tc>
          <w:tcPr>
            <w:tcW w:w="4320" w:type="dxa"/>
            <w:tcBorders>
              <w:top w:val="single" w:color="B7C9D3" w:sz="4" w:space="0"/>
              <w:left w:val="single" w:color="B7C9D3" w:sz="4" w:space="0"/>
              <w:bottom w:val="single" w:color="B7C9D3" w:sz="4" w:space="0"/>
              <w:right w:val="single" w:color="B7C9D3" w:sz="4" w:space="0"/>
            </w:tcBorders>
            <w:vAlign w:val="center"/>
          </w:tcPr>
          <w:p w14:paraId="51B42D8F">
            <w:pPr>
              <w:spacing w:before="0" w:after="0" w:line="240" w:lineRule="auto"/>
            </w:pPr>
            <w:r>
              <w:rPr>
                <w:rFonts w:ascii="Aptos" w:hAnsi="Aptos"/>
                <w:b w:val="0"/>
                <w:color w:val="233746"/>
                <w:sz w:val="17"/>
              </w:rPr>
              <w:t>Audio + visual + text support; captions; word banks; replay options</w:t>
            </w:r>
          </w:p>
        </w:tc>
        <w:tc>
          <w:tcPr>
            <w:tcW w:w="3024" w:type="dxa"/>
            <w:tcBorders>
              <w:top w:val="single" w:color="B7C9D3" w:sz="4" w:space="0"/>
              <w:left w:val="single" w:color="B7C9D3" w:sz="4" w:space="0"/>
              <w:bottom w:val="single" w:color="B7C9D3" w:sz="4" w:space="0"/>
              <w:right w:val="single" w:color="B7C9D3" w:sz="4" w:space="0"/>
            </w:tcBorders>
            <w:vAlign w:val="center"/>
          </w:tcPr>
          <w:p w14:paraId="29948DAF">
            <w:pPr>
              <w:spacing w:before="0" w:after="0" w:line="240" w:lineRule="auto"/>
            </w:pPr>
            <w:r>
              <w:rPr>
                <w:rFonts w:ascii="Aptos" w:hAnsi="Aptos"/>
                <w:b w:val="0"/>
                <w:color w:val="233746"/>
                <w:sz w:val="17"/>
              </w:rPr>
              <w:t>Digital lessons, videos, e-books, interactive PDFs</w:t>
            </w:r>
          </w:p>
        </w:tc>
      </w:tr>
      <w:tr w14:paraId="479AE34B">
        <w:trPr>
          <w:cantSplit/>
          <w:jc w:val="center"/>
        </w:trPr>
        <w:tc>
          <w:tcPr>
            <w:tcW w:w="2592" w:type="dxa"/>
            <w:tcBorders>
              <w:top w:val="single" w:color="B7C9D3" w:sz="4" w:space="0"/>
              <w:left w:val="single" w:color="B7C9D3" w:sz="4" w:space="0"/>
              <w:bottom w:val="single" w:color="B7C9D3" w:sz="4" w:space="0"/>
              <w:right w:val="single" w:color="B7C9D3" w:sz="4" w:space="0"/>
            </w:tcBorders>
            <w:vAlign w:val="center"/>
          </w:tcPr>
          <w:p w14:paraId="4D5CE800">
            <w:pPr>
              <w:spacing w:before="0" w:after="0" w:line="240" w:lineRule="auto"/>
            </w:pPr>
            <w:r>
              <w:rPr>
                <w:rFonts w:ascii="Aptos" w:hAnsi="Aptos"/>
                <w:b w:val="0"/>
                <w:color w:val="233746"/>
                <w:sz w:val="17"/>
              </w:rPr>
              <w:t>High interest in games and digital media</w:t>
            </w:r>
          </w:p>
        </w:tc>
        <w:tc>
          <w:tcPr>
            <w:tcW w:w="4320" w:type="dxa"/>
            <w:tcBorders>
              <w:top w:val="single" w:color="B7C9D3" w:sz="4" w:space="0"/>
              <w:left w:val="single" w:color="B7C9D3" w:sz="4" w:space="0"/>
              <w:bottom w:val="single" w:color="B7C9D3" w:sz="4" w:space="0"/>
              <w:right w:val="single" w:color="B7C9D3" w:sz="4" w:space="0"/>
            </w:tcBorders>
            <w:vAlign w:val="center"/>
          </w:tcPr>
          <w:p w14:paraId="0E4E7C93">
            <w:pPr>
              <w:spacing w:before="0" w:after="0" w:line="240" w:lineRule="auto"/>
            </w:pPr>
            <w:r>
              <w:rPr>
                <w:rFonts w:ascii="Aptos" w:hAnsi="Aptos"/>
                <w:b w:val="0"/>
                <w:color w:val="233746"/>
                <w:sz w:val="17"/>
              </w:rPr>
              <w:t>Gamified tasks, quizzes, interactive stories and student choice</w:t>
            </w:r>
          </w:p>
        </w:tc>
        <w:tc>
          <w:tcPr>
            <w:tcW w:w="3024" w:type="dxa"/>
            <w:tcBorders>
              <w:top w:val="single" w:color="B7C9D3" w:sz="4" w:space="0"/>
              <w:left w:val="single" w:color="B7C9D3" w:sz="4" w:space="0"/>
              <w:bottom w:val="single" w:color="B7C9D3" w:sz="4" w:space="0"/>
              <w:right w:val="single" w:color="B7C9D3" w:sz="4" w:space="0"/>
            </w:tcBorders>
            <w:vAlign w:val="center"/>
          </w:tcPr>
          <w:p w14:paraId="20FF2F57">
            <w:pPr>
              <w:spacing w:before="0" w:after="0" w:line="240" w:lineRule="auto"/>
            </w:pPr>
            <w:r>
              <w:rPr>
                <w:rFonts w:ascii="Aptos" w:hAnsi="Aptos"/>
                <w:b w:val="0"/>
                <w:color w:val="233746"/>
                <w:sz w:val="17"/>
              </w:rPr>
              <w:t>E-platform and ILP</w:t>
            </w:r>
          </w:p>
        </w:tc>
      </w:tr>
      <w:tr w14:paraId="791F7A7F">
        <w:trPr>
          <w:cantSplit/>
          <w:jc w:val="center"/>
        </w:trPr>
        <w:tc>
          <w:tcPr>
            <w:tcW w:w="2592" w:type="dxa"/>
            <w:tcBorders>
              <w:top w:val="single" w:color="B7C9D3" w:sz="4" w:space="0"/>
              <w:left w:val="single" w:color="B7C9D3" w:sz="4" w:space="0"/>
              <w:bottom w:val="single" w:color="B7C9D3" w:sz="4" w:space="0"/>
              <w:right w:val="single" w:color="B7C9D3" w:sz="4" w:space="0"/>
            </w:tcBorders>
            <w:vAlign w:val="center"/>
          </w:tcPr>
          <w:p w14:paraId="5AD05B1C">
            <w:pPr>
              <w:spacing w:before="0" w:after="0" w:line="240" w:lineRule="auto"/>
            </w:pPr>
            <w:r>
              <w:rPr>
                <w:rFonts w:ascii="Aptos" w:hAnsi="Aptos"/>
                <w:b w:val="0"/>
                <w:color w:val="233746"/>
                <w:sz w:val="17"/>
              </w:rPr>
              <w:t>Technology and financial barriers</w:t>
            </w:r>
          </w:p>
        </w:tc>
        <w:tc>
          <w:tcPr>
            <w:tcW w:w="4320" w:type="dxa"/>
            <w:tcBorders>
              <w:top w:val="single" w:color="B7C9D3" w:sz="4" w:space="0"/>
              <w:left w:val="single" w:color="B7C9D3" w:sz="4" w:space="0"/>
              <w:bottom w:val="single" w:color="B7C9D3" w:sz="4" w:space="0"/>
              <w:right w:val="single" w:color="B7C9D3" w:sz="4" w:space="0"/>
            </w:tcBorders>
            <w:vAlign w:val="center"/>
          </w:tcPr>
          <w:p w14:paraId="617CD1C0">
            <w:pPr>
              <w:spacing w:before="0" w:after="0" w:line="240" w:lineRule="auto"/>
            </w:pPr>
            <w:r>
              <w:rPr>
                <w:rFonts w:ascii="Aptos" w:hAnsi="Aptos"/>
                <w:b w:val="0"/>
                <w:color w:val="233746"/>
                <w:sz w:val="17"/>
              </w:rPr>
              <w:t>Free/open resources; downloadable and low-bandwidth alternatives; no dependency on paid tools</w:t>
            </w:r>
          </w:p>
        </w:tc>
        <w:tc>
          <w:tcPr>
            <w:tcW w:w="3024" w:type="dxa"/>
            <w:tcBorders>
              <w:top w:val="single" w:color="B7C9D3" w:sz="4" w:space="0"/>
              <w:left w:val="single" w:color="B7C9D3" w:sz="4" w:space="0"/>
              <w:bottom w:val="single" w:color="B7C9D3" w:sz="4" w:space="0"/>
              <w:right w:val="single" w:color="B7C9D3" w:sz="4" w:space="0"/>
            </w:tcBorders>
            <w:vAlign w:val="center"/>
          </w:tcPr>
          <w:p w14:paraId="2AA4FAEA">
            <w:pPr>
              <w:spacing w:before="0" w:after="0" w:line="240" w:lineRule="auto"/>
            </w:pPr>
            <w:r>
              <w:rPr>
                <w:rFonts w:ascii="Aptos" w:hAnsi="Aptos"/>
                <w:b w:val="0"/>
                <w:color w:val="233746"/>
                <w:sz w:val="17"/>
              </w:rPr>
              <w:t>E-platform technical/content standards</w:t>
            </w:r>
          </w:p>
        </w:tc>
      </w:tr>
      <w:tr w14:paraId="4AD93D2C">
        <w:trPr>
          <w:cantSplit/>
          <w:jc w:val="center"/>
        </w:trPr>
        <w:tc>
          <w:tcPr>
            <w:tcW w:w="2592" w:type="dxa"/>
            <w:tcBorders>
              <w:top w:val="single" w:color="B7C9D3" w:sz="4" w:space="0"/>
              <w:left w:val="single" w:color="B7C9D3" w:sz="4" w:space="0"/>
              <w:bottom w:val="single" w:color="B7C9D3" w:sz="4" w:space="0"/>
              <w:right w:val="single" w:color="B7C9D3" w:sz="4" w:space="0"/>
            </w:tcBorders>
            <w:vAlign w:val="center"/>
          </w:tcPr>
          <w:p w14:paraId="4DE4F830">
            <w:pPr>
              <w:spacing w:before="0" w:after="0" w:line="240" w:lineRule="auto"/>
            </w:pPr>
            <w:r>
              <w:rPr>
                <w:rFonts w:ascii="Aptos" w:hAnsi="Aptos"/>
                <w:b w:val="0"/>
                <w:color w:val="233746"/>
                <w:sz w:val="17"/>
              </w:rPr>
              <w:t>Low teacher UDL familiarity</w:t>
            </w:r>
          </w:p>
        </w:tc>
        <w:tc>
          <w:tcPr>
            <w:tcW w:w="4320" w:type="dxa"/>
            <w:tcBorders>
              <w:top w:val="single" w:color="B7C9D3" w:sz="4" w:space="0"/>
              <w:left w:val="single" w:color="B7C9D3" w:sz="4" w:space="0"/>
              <w:bottom w:val="single" w:color="B7C9D3" w:sz="4" w:space="0"/>
              <w:right w:val="single" w:color="B7C9D3" w:sz="4" w:space="0"/>
            </w:tcBorders>
            <w:vAlign w:val="center"/>
          </w:tcPr>
          <w:p w14:paraId="262E72D9">
            <w:pPr>
              <w:spacing w:before="0" w:after="0" w:line="240" w:lineRule="auto"/>
            </w:pPr>
            <w:r>
              <w:rPr>
                <w:rFonts w:ascii="Aptos" w:hAnsi="Aptos"/>
                <w:b w:val="0"/>
                <w:color w:val="233746"/>
                <w:sz w:val="17"/>
              </w:rPr>
              <w:t>Step-by-step Teacher Guide, model lessons, UDL checklist, practical training</w:t>
            </w:r>
          </w:p>
        </w:tc>
        <w:tc>
          <w:tcPr>
            <w:tcW w:w="3024" w:type="dxa"/>
            <w:tcBorders>
              <w:top w:val="single" w:color="B7C9D3" w:sz="4" w:space="0"/>
              <w:left w:val="single" w:color="B7C9D3" w:sz="4" w:space="0"/>
              <w:bottom w:val="single" w:color="B7C9D3" w:sz="4" w:space="0"/>
              <w:right w:val="single" w:color="B7C9D3" w:sz="4" w:space="0"/>
            </w:tcBorders>
            <w:vAlign w:val="center"/>
          </w:tcPr>
          <w:p w14:paraId="3ADB8778">
            <w:pPr>
              <w:spacing w:before="0" w:after="0" w:line="240" w:lineRule="auto"/>
            </w:pPr>
            <w:r>
              <w:rPr>
                <w:rFonts w:ascii="Aptos" w:hAnsi="Aptos"/>
                <w:b w:val="0"/>
                <w:color w:val="233746"/>
                <w:sz w:val="17"/>
              </w:rPr>
              <w:t>Teacher support and quality system</w:t>
            </w:r>
          </w:p>
        </w:tc>
      </w:tr>
      <w:tr w14:paraId="124EE235">
        <w:trPr>
          <w:cantSplit/>
          <w:jc w:val="center"/>
        </w:trPr>
        <w:tc>
          <w:tcPr>
            <w:tcW w:w="2592" w:type="dxa"/>
            <w:tcBorders>
              <w:top w:val="single" w:color="B7C9D3" w:sz="4" w:space="0"/>
              <w:left w:val="single" w:color="B7C9D3" w:sz="4" w:space="0"/>
              <w:bottom w:val="single" w:color="B7C9D3" w:sz="4" w:space="0"/>
              <w:right w:val="single" w:color="B7C9D3" w:sz="4" w:space="0"/>
            </w:tcBorders>
            <w:vAlign w:val="center"/>
          </w:tcPr>
          <w:p w14:paraId="30565DE7">
            <w:pPr>
              <w:spacing w:before="0" w:after="0" w:line="240" w:lineRule="auto"/>
            </w:pPr>
            <w:r>
              <w:rPr>
                <w:rFonts w:ascii="Aptos" w:hAnsi="Aptos"/>
                <w:b w:val="0"/>
                <w:color w:val="233746"/>
                <w:sz w:val="17"/>
              </w:rPr>
              <w:t>Variable parent confidence</w:t>
            </w:r>
          </w:p>
        </w:tc>
        <w:tc>
          <w:tcPr>
            <w:tcW w:w="4320" w:type="dxa"/>
            <w:tcBorders>
              <w:top w:val="single" w:color="B7C9D3" w:sz="4" w:space="0"/>
              <w:left w:val="single" w:color="B7C9D3" w:sz="4" w:space="0"/>
              <w:bottom w:val="single" w:color="B7C9D3" w:sz="4" w:space="0"/>
              <w:right w:val="single" w:color="B7C9D3" w:sz="4" w:space="0"/>
            </w:tcBorders>
            <w:vAlign w:val="center"/>
          </w:tcPr>
          <w:p w14:paraId="5B417213">
            <w:pPr>
              <w:spacing w:before="0" w:after="0" w:line="240" w:lineRule="auto"/>
            </w:pPr>
            <w:r>
              <w:rPr>
                <w:rFonts w:ascii="Aptos" w:hAnsi="Aptos"/>
                <w:b w:val="0"/>
                <w:color w:val="233746"/>
                <w:sz w:val="17"/>
              </w:rPr>
              <w:t>Low-threshold home activities, multilingual guidance, simple digital support</w:t>
            </w:r>
          </w:p>
        </w:tc>
        <w:tc>
          <w:tcPr>
            <w:tcW w:w="3024" w:type="dxa"/>
            <w:tcBorders>
              <w:top w:val="single" w:color="B7C9D3" w:sz="4" w:space="0"/>
              <w:left w:val="single" w:color="B7C9D3" w:sz="4" w:space="0"/>
              <w:bottom w:val="single" w:color="B7C9D3" w:sz="4" w:space="0"/>
              <w:right w:val="single" w:color="B7C9D3" w:sz="4" w:space="0"/>
            </w:tcBorders>
            <w:vAlign w:val="center"/>
          </w:tcPr>
          <w:p w14:paraId="5BAD0A25">
            <w:pPr>
              <w:spacing w:before="0" w:after="0" w:line="240" w:lineRule="auto"/>
            </w:pPr>
            <w:r>
              <w:rPr>
                <w:rFonts w:ascii="Aptos" w:hAnsi="Aptos"/>
                <w:b w:val="0"/>
                <w:color w:val="233746"/>
                <w:sz w:val="17"/>
              </w:rPr>
              <w:t>English at Home: Parent Guide</w:t>
            </w:r>
          </w:p>
        </w:tc>
      </w:tr>
      <w:tr w14:paraId="2D0DEB81">
        <w:trPr>
          <w:cantSplit/>
          <w:jc w:val="center"/>
        </w:trPr>
        <w:tc>
          <w:tcPr>
            <w:tcW w:w="2592" w:type="dxa"/>
            <w:tcBorders>
              <w:top w:val="single" w:color="B7C9D3" w:sz="4" w:space="0"/>
              <w:left w:val="single" w:color="B7C9D3" w:sz="4" w:space="0"/>
              <w:bottom w:val="single" w:color="B7C9D3" w:sz="4" w:space="0"/>
              <w:right w:val="single" w:color="B7C9D3" w:sz="4" w:space="0"/>
            </w:tcBorders>
            <w:vAlign w:val="center"/>
          </w:tcPr>
          <w:p w14:paraId="674E200C">
            <w:pPr>
              <w:spacing w:before="0" w:after="0" w:line="240" w:lineRule="auto"/>
            </w:pPr>
            <w:r>
              <w:rPr>
                <w:rFonts w:ascii="Aptos" w:hAnsi="Aptos"/>
                <w:b w:val="0"/>
                <w:color w:val="233746"/>
                <w:sz w:val="17"/>
              </w:rPr>
              <w:t>Need for cultural exchange</w:t>
            </w:r>
          </w:p>
        </w:tc>
        <w:tc>
          <w:tcPr>
            <w:tcW w:w="4320" w:type="dxa"/>
            <w:tcBorders>
              <w:top w:val="single" w:color="B7C9D3" w:sz="4" w:space="0"/>
              <w:left w:val="single" w:color="B7C9D3" w:sz="4" w:space="0"/>
              <w:bottom w:val="single" w:color="B7C9D3" w:sz="4" w:space="0"/>
              <w:right w:val="single" w:color="B7C9D3" w:sz="4" w:space="0"/>
            </w:tcBorders>
            <w:vAlign w:val="center"/>
          </w:tcPr>
          <w:p w14:paraId="446910A0">
            <w:pPr>
              <w:spacing w:before="0" w:after="0" w:line="240" w:lineRule="auto"/>
            </w:pPr>
            <w:r>
              <w:rPr>
                <w:rFonts w:ascii="Aptos" w:hAnsi="Aptos"/>
                <w:b w:val="0"/>
                <w:color w:val="233746"/>
                <w:sz w:val="17"/>
              </w:rPr>
              <w:t>Collaborative international tasks and authentic communication</w:t>
            </w:r>
          </w:p>
        </w:tc>
        <w:tc>
          <w:tcPr>
            <w:tcW w:w="3024" w:type="dxa"/>
            <w:tcBorders>
              <w:top w:val="single" w:color="B7C9D3" w:sz="4" w:space="0"/>
              <w:left w:val="single" w:color="B7C9D3" w:sz="4" w:space="0"/>
              <w:bottom w:val="single" w:color="B7C9D3" w:sz="4" w:space="0"/>
              <w:right w:val="single" w:color="B7C9D3" w:sz="4" w:space="0"/>
            </w:tcBorders>
            <w:vAlign w:val="center"/>
          </w:tcPr>
          <w:p w14:paraId="04DD77FD">
            <w:pPr>
              <w:spacing w:before="0" w:after="0" w:line="240" w:lineRule="auto"/>
            </w:pPr>
            <w:r>
              <w:rPr>
                <w:rFonts w:ascii="Aptos" w:hAnsi="Aptos"/>
                <w:b w:val="0"/>
                <w:color w:val="233746"/>
                <w:sz w:val="17"/>
              </w:rPr>
              <w:t>Pilot activities, eTwinning/dissemination</w:t>
            </w:r>
          </w:p>
        </w:tc>
      </w:tr>
      <w:tr w14:paraId="6BF18F4D">
        <w:trPr>
          <w:cantSplit/>
          <w:jc w:val="center"/>
        </w:trPr>
        <w:tc>
          <w:tcPr>
            <w:tcW w:w="2592" w:type="dxa"/>
            <w:tcBorders>
              <w:top w:val="single" w:color="B7C9D3" w:sz="4" w:space="0"/>
              <w:left w:val="single" w:color="B7C9D3" w:sz="4" w:space="0"/>
              <w:bottom w:val="single" w:color="B7C9D3" w:sz="4" w:space="0"/>
              <w:right w:val="single" w:color="B7C9D3" w:sz="4" w:space="0"/>
            </w:tcBorders>
            <w:vAlign w:val="center"/>
          </w:tcPr>
          <w:p w14:paraId="59691522">
            <w:pPr>
              <w:spacing w:before="0" w:after="0" w:line="240" w:lineRule="auto"/>
            </w:pPr>
            <w:r>
              <w:rPr>
                <w:rFonts w:ascii="Aptos" w:hAnsi="Aptos"/>
                <w:b w:val="0"/>
                <w:color w:val="233746"/>
                <w:sz w:val="17"/>
              </w:rPr>
              <w:t>Learner variability</w:t>
            </w:r>
          </w:p>
        </w:tc>
        <w:tc>
          <w:tcPr>
            <w:tcW w:w="4320" w:type="dxa"/>
            <w:tcBorders>
              <w:top w:val="single" w:color="B7C9D3" w:sz="4" w:space="0"/>
              <w:left w:val="single" w:color="B7C9D3" w:sz="4" w:space="0"/>
              <w:bottom w:val="single" w:color="B7C9D3" w:sz="4" w:space="0"/>
              <w:right w:val="single" w:color="B7C9D3" w:sz="4" w:space="0"/>
            </w:tcBorders>
            <w:vAlign w:val="center"/>
          </w:tcPr>
          <w:p w14:paraId="49DBFBD8">
            <w:pPr>
              <w:spacing w:before="0" w:after="0" w:line="240" w:lineRule="auto"/>
            </w:pPr>
            <w:r>
              <w:rPr>
                <w:rFonts w:ascii="Aptos" w:hAnsi="Aptos"/>
                <w:b w:val="0"/>
                <w:color w:val="233746"/>
                <w:sz w:val="17"/>
              </w:rPr>
              <w:t>Choice, flexible pacing, accessible formats and multiple response options</w:t>
            </w:r>
          </w:p>
        </w:tc>
        <w:tc>
          <w:tcPr>
            <w:tcW w:w="3024" w:type="dxa"/>
            <w:tcBorders>
              <w:top w:val="single" w:color="B7C9D3" w:sz="4" w:space="0"/>
              <w:left w:val="single" w:color="B7C9D3" w:sz="4" w:space="0"/>
              <w:bottom w:val="single" w:color="B7C9D3" w:sz="4" w:space="0"/>
              <w:right w:val="single" w:color="B7C9D3" w:sz="4" w:space="0"/>
            </w:tcBorders>
            <w:vAlign w:val="center"/>
          </w:tcPr>
          <w:p w14:paraId="2B274D0C">
            <w:pPr>
              <w:spacing w:before="0" w:after="0" w:line="240" w:lineRule="auto"/>
            </w:pPr>
            <w:r>
              <w:rPr>
                <w:rFonts w:ascii="Aptos" w:hAnsi="Aptos"/>
                <w:b w:val="0"/>
                <w:color w:val="233746"/>
                <w:sz w:val="17"/>
              </w:rPr>
              <w:t>All UDL-aligned materials</w:t>
            </w:r>
          </w:p>
        </w:tc>
      </w:tr>
    </w:tbl>
    <w:p w14:paraId="31568A59">
      <w:pPr>
        <w:pStyle w:val="2"/>
      </w:pPr>
      <w:r>
        <w:t>10. Data Protection, Ethics and Accessibility</w:t>
      </w:r>
    </w:p>
    <w:p w14:paraId="38CD36A7">
      <w:pPr>
        <w:pStyle w:val="24"/>
        <w:spacing w:after="60"/>
        <w:ind w:left="360"/>
      </w:pPr>
      <w:r>
        <w:rPr>
          <w:rFonts w:ascii="Aptos" w:hAnsi="Aptos"/>
          <w:color w:val="233746"/>
          <w:sz w:val="20"/>
        </w:rPr>
        <w:t>Public reporting uses aggregated findings and anonymised qualitative themes; respondent-level data are not reproduced.</w:t>
      </w:r>
    </w:p>
    <w:p w14:paraId="0485022B">
      <w:pPr>
        <w:pStyle w:val="24"/>
        <w:spacing w:after="60"/>
        <w:ind w:left="360"/>
      </w:pPr>
      <w:r>
        <w:rPr>
          <w:rFonts w:ascii="Aptos" w:hAnsi="Aptos"/>
          <w:color w:val="233746"/>
          <w:sz w:val="20"/>
        </w:rPr>
        <w:t>Student open-ended examples are anonymised. Where translation into English was required, the reporting source indicates that this was done for analytical purposes.</w:t>
      </w:r>
    </w:p>
    <w:p w14:paraId="3580B4B5">
      <w:pPr>
        <w:pStyle w:val="24"/>
        <w:spacing w:after="60"/>
        <w:ind w:left="360"/>
      </w:pPr>
      <w:r>
        <w:rPr>
          <w:rFonts w:ascii="Aptos" w:hAnsi="Aptos"/>
          <w:color w:val="233746"/>
          <w:sz w:val="20"/>
        </w:rPr>
        <w:t>Public versions of WP2 outputs should contain the project number, EU visibility statement, publication date and a clear indication of the responsible project team.</w:t>
      </w:r>
    </w:p>
    <w:p w14:paraId="50FD2E0F">
      <w:pPr>
        <w:pStyle w:val="24"/>
        <w:spacing w:after="60"/>
        <w:ind w:left="360"/>
      </w:pPr>
      <w:r>
        <w:rPr>
          <w:rFonts w:ascii="Aptos" w:hAnsi="Aptos"/>
          <w:color w:val="233746"/>
          <w:sz w:val="20"/>
        </w:rPr>
        <w:t>Where accessible publication formats are produced, headings, readable tables, meaningful link text and alternative text for informative images should be used.</w:t>
      </w:r>
    </w:p>
    <w:p w14:paraId="6D417C3D">
      <w:pPr>
        <w:pStyle w:val="2"/>
      </w:pPr>
      <w:r>
        <w:t>11. Limitations</w:t>
      </w:r>
    </w:p>
    <w:p w14:paraId="73C39DFE">
      <w:r>
        <w:t>The needs analysis is based on project survey data and self-reported responses from the participating school contexts. The findings should therefore be interpreted as evidence from the SMART-UDL partnership rather than as population-level estimates for all European schools. Student findings are presented at partnership level, while teacher and parent findings reflect the participating school-based contexts.</w:t>
      </w:r>
    </w:p>
    <w:p w14:paraId="6220F888">
      <w:pPr>
        <w:pStyle w:val="2"/>
      </w:pPr>
      <w:r>
        <w:t>12. Conclusions</w:t>
      </w:r>
    </w:p>
    <w:p w14:paraId="0FB2C033">
      <w:pPr>
        <w:spacing w:after="120" w:line="259" w:lineRule="auto"/>
      </w:pPr>
      <w:r>
        <w:rPr>
          <w:rFonts w:ascii="Aptos" w:hAnsi="Aptos"/>
          <w:color w:val="233746"/>
          <w:sz w:val="21"/>
        </w:rPr>
        <w:t>The integrated needs analysis confirms the relevance of the SMART-UDL approach. Students are motivated to learn English but face major barriers in oral communication, confidence, access and engagement. Teachers are already using a range of digital tools, but systematic UDL implementation and inclusive digital design remain limited. Parents value English learning and want to help, but their confidence, digital capacity and access to practical guidance differ significantly across the partnership contexts.</w:t>
      </w:r>
    </w:p>
    <w:p w14:paraId="7DE313D2">
      <w:pPr>
        <w:spacing w:after="120" w:line="259" w:lineRule="auto"/>
      </w:pPr>
      <w:r>
        <w:rPr>
          <w:rFonts w:ascii="Aptos" w:hAnsi="Aptos"/>
          <w:color w:val="233746"/>
          <w:sz w:val="21"/>
        </w:rPr>
        <w:t>The evidence therefore supports a common project response built around the three UDL principles: multiple means of engagement, representation, and action &amp; expression. In practical terms, SMART-UDL should provide accessible multimodal materials, safe speaking opportunities, flexible assessment, free digital resources, teacher guidance, and simple parent support activities. These conclusions should be carried forward into the European Language Learning and Teaching Difficulties Report and the Inclusive Language Learning Implementation Framework, and then tested through WP3 pilot implementation.</w:t>
      </w:r>
    </w:p>
    <w:p w14:paraId="78DCBEBA"/>
    <w:p w14:paraId="2902C00C"/>
    <w:p w14:paraId="6522ACF2"/>
    <w:p w14:paraId="7BF9D6CA">
      <w:pPr>
        <w:rPr>
          <w:rFonts w:hint="default" w:asciiTheme="majorAscii" w:hAnsiTheme="majorAscii"/>
          <w:b/>
          <w:bCs/>
          <w:color w:val="1F4E78"/>
          <w:sz w:val="34"/>
          <w:szCs w:val="34"/>
          <w:lang w:val="en-US" w:eastAsia="zh-CN"/>
        </w:rPr>
      </w:pPr>
    </w:p>
    <w:p w14:paraId="676A6A0E">
      <w:pPr>
        <w:rPr>
          <w:rFonts w:hint="default" w:asciiTheme="majorAscii" w:hAnsiTheme="majorAscii"/>
          <w:b/>
          <w:bCs/>
          <w:color w:val="1F4E78"/>
          <w:sz w:val="34"/>
          <w:szCs w:val="34"/>
          <w:lang w:val="en-US" w:eastAsia="zh-CN"/>
        </w:rPr>
      </w:pPr>
      <w:r>
        <w:rPr>
          <w:rFonts w:hint="default" w:asciiTheme="majorAscii" w:hAnsiTheme="majorAscii"/>
          <w:b/>
          <w:bCs/>
          <w:color w:val="1F4E78"/>
          <w:sz w:val="34"/>
          <w:szCs w:val="34"/>
          <w:lang w:val="en-US" w:eastAsia="zh-CN"/>
        </w:rPr>
        <w:t xml:space="preserve">Supporting Project Documents </w:t>
      </w:r>
    </w:p>
    <w:p w14:paraId="421E4BE4">
      <w:pPr>
        <w:pStyle w:val="24"/>
        <w:bidi w:val="0"/>
        <w:ind w:left="360" w:leftChars="0" w:hanging="360" w:firstLineChars="0"/>
        <w:rPr>
          <w:b/>
          <w:bCs/>
        </w:rPr>
      </w:pPr>
      <w:r>
        <w:rPr>
          <w:rFonts w:hint="eastAsia"/>
        </w:rPr>
        <w:t xml:space="preserve"> </w:t>
      </w:r>
      <w:r>
        <w:rPr>
          <w:b/>
          <w:bCs/>
        </w:rPr>
        <w:t>SMART-UDL Student Needs Analysis – Detailed Survey Results</w:t>
      </w:r>
    </w:p>
    <w:p w14:paraId="10A5DA81">
      <w:pPr>
        <w:keepNext w:val="0"/>
        <w:keepLines w:val="0"/>
        <w:widowControl/>
        <w:numPr>
          <w:ilvl w:val="0"/>
          <w:numId w:val="7"/>
        </w:numPr>
        <w:suppressLineNumbers w:val="0"/>
        <w:ind w:left="420" w:leftChars="0" w:hanging="420" w:firstLineChars="0"/>
      </w:pPr>
      <w:r>
        <w:rPr>
          <w:rFonts w:hint="eastAsia" w:ascii="SimSun" w:hAnsi="SimSun" w:eastAsia="SimSun" w:cs="SimSun"/>
          <w:sz w:val="24"/>
        </w:rPr>
        <w:t xml:space="preserve"> </w:t>
      </w:r>
      <w:r>
        <w:rPr>
          <w:rStyle w:val="35"/>
        </w:rPr>
        <w:t>SMART-UDL English Teaching Practices Questionnaire – Results</w:t>
      </w:r>
    </w:p>
    <w:p w14:paraId="65C7DF9E">
      <w:pPr>
        <w:keepNext w:val="0"/>
        <w:keepLines w:val="0"/>
        <w:widowControl/>
        <w:numPr>
          <w:ilvl w:val="0"/>
          <w:numId w:val="7"/>
        </w:numPr>
        <w:suppressLineNumbers w:val="0"/>
        <w:ind w:left="420" w:leftChars="0" w:hanging="420" w:firstLineChars="0"/>
      </w:pPr>
      <w:r>
        <w:rPr>
          <w:rStyle w:val="35"/>
        </w:rPr>
        <w:t>SMART-UDL Parent Survey – Cross-Country Results and Analysis</w:t>
      </w:r>
    </w:p>
    <w:p w14:paraId="7A57775C"/>
    <w:p w14:paraId="753CC9C8">
      <w:bookmarkStart w:id="0" w:name="_GoBack"/>
      <w:bookmarkEnd w:id="0"/>
    </w:p>
    <w:p w14:paraId="41702A08"/>
    <w:p w14:paraId="280E2196">
      <w:pPr>
        <w:keepNext w:val="0"/>
        <w:keepLines w:val="0"/>
        <w:widowControl/>
        <w:suppressLineNumbers w:val="0"/>
        <w:jc w:val="left"/>
        <w:rPr>
          <w:rFonts w:hint="default"/>
          <w:lang w:val="tr-TR"/>
        </w:rPr>
      </w:pPr>
      <w:r>
        <w:rPr>
          <w:rFonts w:ascii="SimSun" w:hAnsi="SimSun" w:eastAsia="SimSun" w:cs="SimSun"/>
          <w:kern w:val="0"/>
          <w:sz w:val="24"/>
          <w:szCs w:val="24"/>
          <w:lang w:val="en-US" w:eastAsia="zh-CN" w:bidi="ar"/>
        </w:rPr>
        <w:drawing>
          <wp:anchor distT="0" distB="0" distL="114300" distR="114300" simplePos="0" relativeHeight="251660288" behindDoc="0" locked="0" layoutInCell="1" allowOverlap="1">
            <wp:simplePos x="0" y="0"/>
            <wp:positionH relativeFrom="column">
              <wp:posOffset>92710</wp:posOffset>
            </wp:positionH>
            <wp:positionV relativeFrom="paragraph">
              <wp:posOffset>20955</wp:posOffset>
            </wp:positionV>
            <wp:extent cx="1168400" cy="410210"/>
            <wp:effectExtent l="0" t="0" r="0" b="21590"/>
            <wp:wrapSquare wrapText="bothSides"/>
            <wp:docPr id="4"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IMG_256"/>
                    <pic:cNvPicPr>
                      <a:picLocks noChangeAspect="1"/>
                    </pic:cNvPicPr>
                  </pic:nvPicPr>
                  <pic:blipFill>
                    <a:blip r:embed="rId8"/>
                    <a:stretch>
                      <a:fillRect/>
                    </a:stretch>
                  </pic:blipFill>
                  <pic:spPr>
                    <a:xfrm>
                      <a:off x="0" y="0"/>
                      <a:ext cx="1168400" cy="410210"/>
                    </a:xfrm>
                    <a:prstGeom prst="rect">
                      <a:avLst/>
                    </a:prstGeom>
                    <a:noFill/>
                    <a:ln w="9525">
                      <a:noFill/>
                    </a:ln>
                  </pic:spPr>
                </pic:pic>
              </a:graphicData>
            </a:graphic>
          </wp:anchor>
        </w:drawing>
      </w:r>
      <w:r>
        <w:rPr>
          <w:lang w:val="en-US" w:eastAsia="zh-CN"/>
        </w:rPr>
        <w:t xml:space="preserve">SMART-UDL NEEDS ANALYSIS REPORT © 2026 by Smart UDL Project Team is licensed under CC BY-NC-SA 4.0. To view a copy of this license, visit </w:t>
      </w:r>
      <w:r>
        <w:rPr>
          <w:lang w:val="en-US" w:eastAsia="zh-CN"/>
        </w:rPr>
        <w:fldChar w:fldCharType="begin"/>
      </w:r>
      <w:r>
        <w:rPr>
          <w:lang w:val="en-US" w:eastAsia="zh-CN"/>
        </w:rPr>
        <w:instrText xml:space="preserve"> HYPERLINK "https://creativecommons.org/licenses/by-nc-sa/4.0/" </w:instrText>
      </w:r>
      <w:r>
        <w:rPr>
          <w:lang w:val="en-US" w:eastAsia="zh-CN"/>
        </w:rPr>
        <w:fldChar w:fldCharType="separate"/>
      </w:r>
      <w:r>
        <w:rPr>
          <w:rStyle w:val="20"/>
          <w:lang w:val="en-US" w:eastAsia="zh-CN"/>
        </w:rPr>
        <w:t>https://creativecommons.org/licenses/by-nc-sa/4.0/</w:t>
      </w:r>
      <w:r>
        <w:rPr>
          <w:lang w:val="en-US" w:eastAsia="zh-CN"/>
        </w:rPr>
        <w:fldChar w:fldCharType="end"/>
      </w:r>
      <w:r>
        <w:rPr>
          <w:rFonts w:hint="default"/>
          <w:lang w:val="tr-TR" w:eastAsia="zh-CN"/>
        </w:rPr>
        <w:t xml:space="preserve"> </w:t>
      </w:r>
    </w:p>
    <w:p w14:paraId="45CA4153">
      <w:pPr>
        <w:keepNext w:val="0"/>
        <w:keepLines w:val="0"/>
        <w:widowControl/>
        <w:suppressLineNumbers w:val="0"/>
        <w:jc w:val="left"/>
      </w:pPr>
    </w:p>
    <w:p w14:paraId="3E778846"/>
    <w:p w14:paraId="3277E401">
      <w:pPr>
        <w:keepNext w:val="0"/>
        <w:keepLines w:val="0"/>
        <w:widowControl/>
        <w:suppressLineNumbers w:val="0"/>
        <w:jc w:val="left"/>
      </w:pPr>
    </w:p>
    <w:p w14:paraId="5DAF9F19"/>
    <w:p w14:paraId="1C903CDA"/>
    <w:p w14:paraId="7223C47D"/>
    <w:p w14:paraId="54F963AE"/>
    <w:p w14:paraId="16E6903A"/>
    <w:p w14:paraId="17AD0B9F"/>
    <w:p w14:paraId="00000010">
      <w:pPr>
        <w:pStyle w:val="34"/>
        <w:keepNext w:val="0"/>
        <w:keepLines w:val="0"/>
        <w:widowControl/>
        <w:suppressLineNumbers w:val="0"/>
        <w:bidi w:val="0"/>
        <w:spacing w:before="0" w:beforeAutospacing="0" w:after="80" w:afterAutospacing="0" w:line="252" w:lineRule="auto"/>
        <w:ind w:firstLine="600" w:firstLineChars="250"/>
      </w:pPr>
      <w:r>
        <w:drawing>
          <wp:anchor distT="0" distB="0" distL="114300" distR="114300" simplePos="0" relativeHeight="251659264" behindDoc="0" locked="0" layoutInCell="1" allowOverlap="1">
            <wp:simplePos x="0" y="0"/>
            <wp:positionH relativeFrom="column">
              <wp:posOffset>4235450</wp:posOffset>
            </wp:positionH>
            <wp:positionV relativeFrom="paragraph">
              <wp:posOffset>43180</wp:posOffset>
            </wp:positionV>
            <wp:extent cx="1994535" cy="489585"/>
            <wp:effectExtent l="0" t="0" r="12065" b="184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1994535" cy="489585"/>
                    </a:xfrm>
                    <a:prstGeom prst="rect">
                      <a:avLst/>
                    </a:prstGeom>
                  </pic:spPr>
                </pic:pic>
              </a:graphicData>
            </a:graphic>
          </wp:anchor>
        </w:drawing>
      </w:r>
      <w:r>
        <w:rPr>
          <w:rFonts w:ascii="Arial" w:hAnsi="Arial" w:eastAsia="Arial"/>
          <w:b w:val="0"/>
          <w:i w:val="0"/>
          <w:iCs w:val="0"/>
          <w:color w:val="464646"/>
          <w:sz w:val="18"/>
        </w:rPr>
        <w:t>Co-funded by the Erasmus+ Programme of the European Union. The European Commission's support for the production of this publication does not constitute an endorsement of the contents, which reflect the views only of the authors, and the Commission cannot be held responsible for any use which may be made of the information contained therein.</w:t>
      </w:r>
    </w:p>
    <w:p w14:paraId="28A474A7">
      <w:pPr>
        <w:rPr>
          <w:rFonts w:hint="default"/>
          <w:lang w:val="tr-TR"/>
        </w:rPr>
      </w:pPr>
    </w:p>
    <w:sectPr>
      <w:headerReference r:id="rId5" w:type="default"/>
      <w:footerReference r:id="rId6" w:type="default"/>
      <w:pgSz w:w="12240" w:h="15840"/>
      <w:pgMar w:top="1008" w:right="1080" w:bottom="1008" w:left="1080" w:header="720" w:footer="720" w:gutter="0"/>
      <w:pgBorders>
        <w:top w:val="thinThickLargeGap" w:color="auto" w:sz="24" w:space="1"/>
        <w:left w:val="thinThickLargeGap" w:color="auto" w:sz="24" w:space="4"/>
        <w:bottom w:val="thinThickLargeGap" w:color="auto" w:sz="24" w:space="1"/>
        <w:right w:val="thinThickLargeGap" w:color="auto" w:sz="24" w:space="4"/>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Aptos">
    <w:altName w:val="苹方-简"/>
    <w:panose1 w:val="00000000000000000000"/>
    <w:charset w:val="00"/>
    <w:family w:val="auto"/>
    <w:pitch w:val="default"/>
    <w:sig w:usb0="00000000" w:usb1="00000000" w:usb2="00000000" w:usb3="00000000" w:csb0="00000000" w:csb1="00000000"/>
  </w:font>
  <w:font w:name="ＭＳ 明朝">
    <w:altName w:val="Hiragino Sans"/>
    <w:panose1 w:val="00000000000000000000"/>
    <w:charset w:val="80"/>
    <w:family w:val="roman"/>
    <w:pitch w:val="default"/>
    <w:sig w:usb0="00000000" w:usb1="00000000" w:usb2="00000010" w:usb3="00000000" w:csb0="0002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Cambria">
    <w:altName w:val="苹方-简"/>
    <w:panose1 w:val="02040503050406030204"/>
    <w:charset w:val="00"/>
    <w:family w:val="auto"/>
    <w:pitch w:val="default"/>
    <w:sig w:usb0="00000000" w:usb1="00000000" w:usb2="00000000" w:usb3="00000000" w:csb0="0000019F" w:csb1="00000000"/>
  </w:font>
  <w:font w:name="Aptos Display">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苹方-简">
    <w:altName w:val="Times New Roman"/>
    <w:panose1 w:val="00000000000000000000"/>
    <w:charset w:val="00"/>
    <w:family w:val="auto"/>
    <w:pitch w:val="default"/>
    <w:sig w:usb0="E00002FF" w:usb1="5000785B" w:usb2="00000000" w:usb3="00000000" w:csb0="2000019F" w:csb1="4F01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Hiragino Sans">
    <w:panose1 w:val="020B0300000000000000"/>
    <w:charset w:val="80"/>
    <w:family w:val="auto"/>
    <w:pitch w:val="default"/>
    <w:sig w:usb0="E00002FF" w:usb1="7AE7FFFF" w:usb2="00000012" w:usb3="00000000" w:csb0="0002000D" w:csb1="00000000"/>
  </w:font>
  <w:font w:name=".AppleSystemUIFont">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9AB83">
    <w:pPr>
      <w:pStyle w:val="18"/>
      <w:jc w:val="center"/>
    </w:pPr>
    <w:r>
      <w:rPr>
        <w:rFonts w:ascii="Aptos" w:hAnsi="Aptos"/>
        <w:color w:val="5E6A71"/>
        <w:sz w:val="16"/>
      </w:rPr>
      <w:t xml:space="preserve">SMART-UDL | WP2 Needs Analysis Report | 2025-1-SE01-KA220-SCH-000363437 | </w:t>
    </w:r>
    <w:r>
      <w:fldChar w:fldCharType="begin"/>
    </w:r>
    <w:r>
      <w:instrText xml:space="preserve">PAGE</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CD5FC">
    <w:pPr>
      <w:pStyle w:val="19"/>
    </w:pPr>
  </w:p>
  <w:tbl>
    <w:tblPr>
      <w:tblStyle w:val="12"/>
      <w:tblW w:w="0" w:type="auto"/>
      <w:jc w:val="center"/>
      <w:tblLayout w:type="autofit"/>
      <w:tblCellMar>
        <w:top w:w="0" w:type="dxa"/>
        <w:left w:w="108" w:type="dxa"/>
        <w:bottom w:w="0" w:type="dxa"/>
        <w:right w:w="108" w:type="dxa"/>
      </w:tblCellMar>
    </w:tblPr>
    <w:tblGrid>
      <w:gridCol w:w="5040"/>
      <w:gridCol w:w="5040"/>
    </w:tblGrid>
    <w:tr w14:paraId="231A939F">
      <w:trPr>
        <w:jc w:val="center"/>
      </w:trPr>
      <w:tc>
        <w:tcPr>
          <w:tcW w:w="5040" w:type="dxa"/>
        </w:tcPr>
        <w:p w14:paraId="4AA24BBC">
          <w:pPr>
            <w:spacing w:after="0"/>
            <w:jc w:val="left"/>
          </w:pPr>
          <w:r>
            <w:drawing>
              <wp:inline distT="0" distB="0" distL="114300" distR="114300">
                <wp:extent cx="1234440" cy="739775"/>
                <wp:effectExtent l="0" t="0" r="10160" b="222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234440" cy="740030"/>
                        </a:xfrm>
                        <a:prstGeom prst="rect">
                          <a:avLst/>
                        </a:prstGeom>
                      </pic:spPr>
                    </pic:pic>
                  </a:graphicData>
                </a:graphic>
              </wp:inline>
            </w:drawing>
          </w:r>
        </w:p>
      </w:tc>
      <w:tc>
        <w:tcPr>
          <w:tcW w:w="5040" w:type="dxa"/>
        </w:tcPr>
        <w:p w14:paraId="22A2A330">
          <w:pPr>
            <w:spacing w:after="0"/>
            <w:jc w:val="right"/>
          </w:pPr>
          <w:r>
            <w:drawing>
              <wp:inline distT="0" distB="0" distL="114300" distR="114300">
                <wp:extent cx="1554480" cy="441325"/>
                <wp:effectExtent l="0" t="0" r="20320" b="158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
                        <a:stretch>
                          <a:fillRect/>
                        </a:stretch>
                      </pic:blipFill>
                      <pic:spPr>
                        <a:xfrm>
                          <a:off x="0" y="0"/>
                          <a:ext cx="1554480" cy="441756"/>
                        </a:xfrm>
                        <a:prstGeom prst="rect">
                          <a:avLst/>
                        </a:prstGeom>
                      </pic:spPr>
                    </pic:pic>
                  </a:graphicData>
                </a:graphic>
              </wp:inline>
            </w:drawing>
          </w:r>
        </w:p>
      </w:tc>
    </w:tr>
  </w:tbl>
  <w:p w14:paraId="58489F5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FE5AF"/>
    <w:multiLevelType w:val="singleLevel"/>
    <w:tmpl w:val="FBFFE5AF"/>
    <w:lvl w:ilvl="0" w:tentative="0">
      <w:start w:val="1"/>
      <w:numFmt w:val="bullet"/>
      <w:lvlText w:val=""/>
      <w:lvlJc w:val="left"/>
      <w:pPr>
        <w:tabs>
          <w:tab w:val="left" w:pos="420"/>
        </w:tabs>
        <w:ind w:left="420" w:leftChars="0" w:hanging="420" w:firstLineChars="0"/>
      </w:pPr>
      <w:rPr>
        <w:rFonts w:hint="default" w:ascii="Wingdings" w:hAnsi="Wingdings"/>
        <w:sz w:val="16"/>
        <w:szCs w:val="16"/>
      </w:rPr>
    </w:lvl>
  </w:abstractNum>
  <w:abstractNum w:abstractNumId="1">
    <w:nsid w:val="FFFFFF7E"/>
    <w:multiLevelType w:val="singleLevel"/>
    <w:tmpl w:val="FFFFFF7E"/>
    <w:lvl w:ilvl="0" w:tentative="0">
      <w:start w:val="1"/>
      <w:numFmt w:val="decimal"/>
      <w:pStyle w:val="32"/>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31"/>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6"/>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30"/>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7DF2305"/>
    <w:rsid w:val="79FE2A0F"/>
    <w:rsid w:val="7FFBAB45"/>
    <w:rsid w:val="BE5A06FC"/>
    <w:rsid w:val="F7FD8C7B"/>
    <w:rsid w:val="FF7BBEE0"/>
    <w:rsid w:val="FFAB72D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ptos" w:hAnsi="Aptos" w:eastAsiaTheme="minorEastAsia" w:cstheme="minorBidi"/>
      <w:sz w:val="21"/>
      <w:szCs w:val="22"/>
      <w:lang w:val="en-US" w:eastAsia="en-US" w:bidi="ar-SA"/>
    </w:rPr>
  </w:style>
  <w:style w:type="paragraph" w:styleId="2">
    <w:name w:val="heading 1"/>
    <w:basedOn w:val="1"/>
    <w:next w:val="1"/>
    <w:link w:val="140"/>
    <w:qFormat/>
    <w:uiPriority w:val="9"/>
    <w:pPr>
      <w:keepNext/>
      <w:keepLines/>
      <w:spacing w:before="200" w:after="100"/>
      <w:outlineLvl w:val="0"/>
    </w:pPr>
    <w:rPr>
      <w:rFonts w:asciiTheme="majorHAnsi" w:hAnsiTheme="majorHAnsi" w:eastAsiaTheme="majorEastAsia" w:cstheme="majorBidi"/>
      <w:b/>
      <w:bCs/>
      <w:color w:val="1F4E78"/>
      <w:sz w:val="34"/>
      <w:szCs w:val="28"/>
    </w:rPr>
  </w:style>
  <w:style w:type="paragraph" w:styleId="3">
    <w:name w:val="heading 2"/>
    <w:basedOn w:val="1"/>
    <w:next w:val="1"/>
    <w:link w:val="141"/>
    <w:unhideWhenUsed/>
    <w:qFormat/>
    <w:uiPriority w:val="9"/>
    <w:pPr>
      <w:keepNext/>
      <w:keepLines/>
      <w:spacing w:before="120" w:after="100"/>
      <w:outlineLvl w:val="1"/>
    </w:pPr>
    <w:rPr>
      <w:rFonts w:asciiTheme="majorHAnsi" w:hAnsiTheme="majorHAnsi" w:eastAsiaTheme="majorEastAsia" w:cstheme="majorBidi"/>
      <w:b/>
      <w:bCs/>
      <w:color w:val="0F6B78"/>
      <w:sz w:val="28"/>
      <w:szCs w:val="26"/>
    </w:rPr>
  </w:style>
  <w:style w:type="paragraph" w:styleId="4">
    <w:name w:val="heading 3"/>
    <w:basedOn w:val="1"/>
    <w:next w:val="1"/>
    <w:link w:val="142"/>
    <w:unhideWhenUsed/>
    <w:qFormat/>
    <w:uiPriority w:val="9"/>
    <w:pPr>
      <w:keepNext/>
      <w:keepLines/>
      <w:spacing w:before="120" w:after="100"/>
      <w:outlineLvl w:val="2"/>
    </w:pPr>
    <w:rPr>
      <w:rFonts w:asciiTheme="majorHAnsi" w:hAnsiTheme="majorHAnsi" w:eastAsiaTheme="majorEastAsia" w:cstheme="majorBidi"/>
      <w:b/>
      <w:bCs/>
      <w:color w:val="0F6B78"/>
      <w:sz w:val="24"/>
    </w:rPr>
  </w:style>
  <w:style w:type="paragraph" w:styleId="5">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6"/>
    <w:unhideWhenUsed/>
    <w:uiPriority w:val="99"/>
    <w:pPr>
      <w:spacing w:after="120"/>
    </w:pPr>
  </w:style>
  <w:style w:type="paragraph" w:styleId="14">
    <w:name w:val="Body Text 2"/>
    <w:basedOn w:val="1"/>
    <w:link w:val="147"/>
    <w:unhideWhenUsed/>
    <w:uiPriority w:val="99"/>
    <w:pPr>
      <w:spacing w:after="120" w:line="480" w:lineRule="auto"/>
    </w:pPr>
  </w:style>
  <w:style w:type="paragraph" w:styleId="15">
    <w:name w:val="Body Text 3"/>
    <w:basedOn w:val="1"/>
    <w:link w:val="148"/>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8"/>
    <w:unhideWhenUsed/>
    <w:uiPriority w:val="99"/>
    <w:pPr>
      <w:tabs>
        <w:tab w:val="center" w:pos="4680"/>
        <w:tab w:val="right" w:pos="9360"/>
      </w:tabs>
      <w:spacing w:after="0" w:line="240" w:lineRule="auto"/>
    </w:pPr>
  </w:style>
  <w:style w:type="paragraph" w:styleId="19">
    <w:name w:val="header"/>
    <w:basedOn w:val="1"/>
    <w:link w:val="137"/>
    <w:unhideWhenUsed/>
    <w:uiPriority w:val="99"/>
    <w:pPr>
      <w:tabs>
        <w:tab w:val="center" w:pos="4680"/>
        <w:tab w:val="right" w:pos="9360"/>
      </w:tabs>
      <w:spacing w:after="0" w:line="240" w:lineRule="auto"/>
    </w:pPr>
  </w:style>
  <w:style w:type="character" w:styleId="20">
    <w:name w:val="Hyperlink"/>
    <w:basedOn w:val="11"/>
    <w:semiHidden/>
    <w:unhideWhenUsed/>
    <w:uiPriority w:val="99"/>
    <w:rPr>
      <w:color w:val="0000FF"/>
      <w:u w:val="single"/>
    </w:rPr>
  </w:style>
  <w:style w:type="paragraph" w:styleId="21">
    <w:name w:val="List"/>
    <w:basedOn w:val="1"/>
    <w:unhideWhenUsed/>
    <w:uiPriority w:val="99"/>
    <w:pPr>
      <w:ind w:left="360" w:hanging="360"/>
      <w:contextualSpacing/>
    </w:pPr>
  </w:style>
  <w:style w:type="paragraph" w:styleId="22">
    <w:name w:val="List 2"/>
    <w:basedOn w:val="1"/>
    <w:unhideWhenUsed/>
    <w:uiPriority w:val="99"/>
    <w:pPr>
      <w:ind w:left="720" w:hanging="360"/>
      <w:contextualSpacing/>
    </w:pPr>
  </w:style>
  <w:style w:type="paragraph" w:styleId="23">
    <w:name w:val="List 3"/>
    <w:basedOn w:val="1"/>
    <w:unhideWhenUsed/>
    <w:uiPriority w:val="99"/>
    <w:pPr>
      <w:ind w:left="1080" w:hanging="360"/>
      <w:contextualSpacing/>
    </w:pPr>
  </w:style>
  <w:style w:type="paragraph" w:styleId="24">
    <w:name w:val="List Bullet"/>
    <w:basedOn w:val="1"/>
    <w:unhideWhenUsed/>
    <w:uiPriority w:val="99"/>
    <w:pPr>
      <w:numPr>
        <w:ilvl w:val="0"/>
        <w:numId w:val="1"/>
      </w:numPr>
      <w:contextualSpacing/>
    </w:pPr>
  </w:style>
  <w:style w:type="paragraph" w:styleId="25">
    <w:name w:val="List Bullet 2"/>
    <w:basedOn w:val="1"/>
    <w:unhideWhenUsed/>
    <w:uiPriority w:val="99"/>
    <w:pPr>
      <w:numPr>
        <w:ilvl w:val="0"/>
        <w:numId w:val="2"/>
      </w:numPr>
      <w:contextualSpacing/>
    </w:pPr>
  </w:style>
  <w:style w:type="paragraph" w:styleId="26">
    <w:name w:val="List Bullet 3"/>
    <w:basedOn w:val="1"/>
    <w:unhideWhenUsed/>
    <w:uiPriority w:val="99"/>
    <w:pPr>
      <w:numPr>
        <w:ilvl w:val="0"/>
        <w:numId w:val="3"/>
      </w:numPr>
      <w:contextualSpacing/>
    </w:pPr>
  </w:style>
  <w:style w:type="paragraph" w:styleId="27">
    <w:name w:val="List Continue"/>
    <w:basedOn w:val="1"/>
    <w:unhideWhenUsed/>
    <w:uiPriority w:val="99"/>
    <w:pPr>
      <w:spacing w:after="120"/>
      <w:ind w:left="360"/>
      <w:contextualSpacing/>
    </w:pPr>
  </w:style>
  <w:style w:type="paragraph" w:styleId="28">
    <w:name w:val="List Continue 2"/>
    <w:basedOn w:val="1"/>
    <w:unhideWhenUsed/>
    <w:uiPriority w:val="99"/>
    <w:pPr>
      <w:spacing w:after="120"/>
      <w:ind w:left="720"/>
      <w:contextualSpacing/>
    </w:pPr>
  </w:style>
  <w:style w:type="paragraph" w:styleId="29">
    <w:name w:val="List Continue 3"/>
    <w:basedOn w:val="1"/>
    <w:unhideWhenUsed/>
    <w:uiPriority w:val="99"/>
    <w:pPr>
      <w:spacing w:after="120"/>
      <w:ind w:left="1080"/>
      <w:contextualSpacing/>
    </w:pPr>
  </w:style>
  <w:style w:type="paragraph" w:styleId="30">
    <w:name w:val="List Number"/>
    <w:basedOn w:val="1"/>
    <w:unhideWhenUsed/>
    <w:uiPriority w:val="99"/>
    <w:pPr>
      <w:numPr>
        <w:ilvl w:val="0"/>
        <w:numId w:val="4"/>
      </w:numPr>
      <w:contextualSpacing/>
    </w:pPr>
  </w:style>
  <w:style w:type="paragraph" w:styleId="31">
    <w:name w:val="List Number 2"/>
    <w:basedOn w:val="1"/>
    <w:unhideWhenUsed/>
    <w:uiPriority w:val="99"/>
    <w:pPr>
      <w:numPr>
        <w:ilvl w:val="0"/>
        <w:numId w:val="5"/>
      </w:numPr>
      <w:contextualSpacing/>
    </w:pPr>
  </w:style>
  <w:style w:type="paragraph" w:styleId="32">
    <w:name w:val="List Number 3"/>
    <w:basedOn w:val="1"/>
    <w:unhideWhenUsed/>
    <w:uiPriority w:val="99"/>
    <w:pPr>
      <w:numPr>
        <w:ilvl w:val="0"/>
        <w:numId w:val="6"/>
      </w:numPr>
      <w:contextualSpacing/>
    </w:pPr>
  </w:style>
  <w:style w:type="paragraph" w:styleId="33">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4">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35">
    <w:name w:val="Strong"/>
    <w:basedOn w:val="11"/>
    <w:qFormat/>
    <w:uiPriority w:val="22"/>
    <w:rPr>
      <w:b/>
      <w:bCs/>
    </w:rPr>
  </w:style>
  <w:style w:type="paragraph" w:styleId="3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7">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8">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9">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7">
    <w:name w:val="Header Char"/>
    <w:basedOn w:val="11"/>
    <w:link w:val="19"/>
    <w:uiPriority w:val="99"/>
  </w:style>
  <w:style w:type="character" w:customStyle="1" w:styleId="138">
    <w:name w:val="Footer Char"/>
    <w:basedOn w:val="11"/>
    <w:link w:val="18"/>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1"/>
    <w:link w:val="38"/>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1"/>
    <w:link w:val="3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1"/>
    <w:link w:val="13"/>
    <w:uiPriority w:val="99"/>
  </w:style>
  <w:style w:type="character" w:customStyle="1" w:styleId="147">
    <w:name w:val="Body Text 2 Char"/>
    <w:basedOn w:val="11"/>
    <w:link w:val="14"/>
    <w:uiPriority w:val="99"/>
  </w:style>
  <w:style w:type="character" w:customStyle="1" w:styleId="148">
    <w:name w:val="Body Text 3 Char"/>
    <w:basedOn w:val="11"/>
    <w:link w:val="15"/>
    <w:uiPriority w:val="99"/>
    <w:rPr>
      <w:sz w:val="16"/>
      <w:szCs w:val="16"/>
    </w:rPr>
  </w:style>
  <w:style w:type="character" w:customStyle="1" w:styleId="149">
    <w:name w:val="Macro Text Char"/>
    <w:basedOn w:val="11"/>
    <w:link w:val="33"/>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1"/>
    <w:link w:val="150"/>
    <w:uiPriority w:val="29"/>
    <w:rPr>
      <w:i/>
      <w:iCs/>
      <w:color w:val="000000" w:themeColor="text1"/>
      <w14:textFill>
        <w14:solidFill>
          <w14:schemeClr w14:val="tx1"/>
        </w14:solidFill>
      </w14:textFill>
    </w:rPr>
  </w:style>
  <w:style w:type="character" w:customStyle="1" w:styleId="152">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4">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1"/>
    <w:link w:val="158"/>
    <w:uiPriority w:val="30"/>
    <w:rPr>
      <w:b/>
      <w:bCs/>
      <w:i/>
      <w:iCs/>
      <w:color w:val="4F81BD" w:themeColor="accent1"/>
      <w14:textFill>
        <w14:solidFill>
          <w14:schemeClr w14:val="accent1"/>
        </w14:solidFill>
      </w14:textFill>
    </w:rPr>
  </w:style>
  <w:style w:type="character" w:customStyle="1" w:styleId="1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1"/>
    <w:qFormat/>
    <w:uiPriority w:val="21"/>
    <w:rPr>
      <w:b/>
      <w:bCs/>
      <w:i/>
      <w:iCs/>
      <w:color w:val="4F81BD" w:themeColor="accent1"/>
      <w14:textFill>
        <w14:solidFill>
          <w14:schemeClr w14:val="accent1"/>
        </w14:solidFill>
      </w14:textFill>
    </w:rPr>
  </w:style>
  <w:style w:type="character" w:customStyle="1" w:styleId="162">
    <w:name w:val="Subtle Reference"/>
    <w:basedOn w:val="11"/>
    <w:qFormat/>
    <w:uiPriority w:val="31"/>
    <w:rPr>
      <w:smallCaps/>
      <w:color w:val="C0504D" w:themeColor="accent2"/>
      <w:u w:val="single"/>
      <w14:textFill>
        <w14:solidFill>
          <w14:schemeClr w14:val="accent2"/>
        </w14:solidFill>
      </w14:textFill>
    </w:rPr>
  </w:style>
  <w:style w:type="character" w:customStyle="1" w:styleId="1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1"/>
    <w:qFormat/>
    <w:uiPriority w:val="33"/>
    <w:rPr>
      <w:b/>
      <w:bCs/>
      <w:smallCaps/>
      <w:spacing w:val="5"/>
    </w:rPr>
  </w:style>
  <w:style w:type="paragraph" w:customStyle="1" w:styleId="165">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3.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55</TotalTime>
  <ScaleCrop>false</ScaleCrop>
  <LinksUpToDate>false</LinksUpToDate>
  <CharactersWithSpaces>0</CharactersWithSpaces>
  <Application>WPS Office_6.11.0.8608_F1E327BC-269C-435d-A152-05C5408002CA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ayhansezdirmez</cp:lastModifiedBy>
  <dcterms:modified xsi:type="dcterms:W3CDTF">2026-10-17T13:55:54Z</dcterms:modified>
  <dc:subject>Final WP2 Needs Analysis Report</dc:subject>
  <dc:title>SMART-UDL WP2 Needs Analysis Report</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1033-6.11.0.8608</vt:lpwstr>
  </property>
  <property fmtid="{D5CDD505-2E9C-101B-9397-08002B2CF9AE}" pid="3" name="ICV">
    <vt:lpwstr>D7D983858DB46777AD49D36A0DB10B4D_43</vt:lpwstr>
  </property>
</Properties>
</file>